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0A46BD" w:rsidRDefault="000255EF" w:rsidP="007F11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A46BD">
        <w:rPr>
          <w:rFonts w:ascii="Arial" w:hAnsi="Arial" w:cs="Arial"/>
          <w:sz w:val="24"/>
          <w:szCs w:val="24"/>
        </w:rPr>
        <w:t>AULA :</w:t>
      </w:r>
      <w:proofErr w:type="gramEnd"/>
      <w:r w:rsidRPr="000A46BD">
        <w:rPr>
          <w:rFonts w:ascii="Arial" w:hAnsi="Arial" w:cs="Arial"/>
          <w:sz w:val="24"/>
          <w:szCs w:val="24"/>
        </w:rPr>
        <w:t xml:space="preserve"> Cefaleias  </w:t>
      </w:r>
    </w:p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0A46BD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A46BD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0A46B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0A46BD" w:rsidRDefault="000255EF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Dor de cabeça, um sintoma muito comum, pode ser causada por uma anormalidade grave subjacente, mas geralmente 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é</w:t>
            </w:r>
            <w:proofErr w:type="gramEnd"/>
            <w:r w:rsidRPr="000A46BD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devida a transtornos denominados cefaleias primárias, tais como enxaqueca, cefaleia tipo tensional, cefaleia em salvas e hemicrania paroxística.</w:t>
            </w:r>
            <w:hyperlink r:id="rId6" w:anchor="bib90125" w:history="1">
              <w:r w:rsidRPr="000A46B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  <w:vertAlign w:val="superscript"/>
                </w:rPr>
                <w:t>1</w:t>
              </w:r>
            </w:hyperlink>
          </w:p>
        </w:tc>
      </w:tr>
    </w:tbl>
    <w:p w:rsidR="00CF6440" w:rsidRPr="000A46BD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0A46BD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A46BD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0A46B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0A46B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0A46BD" w:rsidRDefault="0088189A" w:rsidP="000255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sz w:val="24"/>
                <w:szCs w:val="24"/>
              </w:rPr>
              <w:t>Fisiopatolog</w:t>
            </w:r>
            <w:r w:rsidR="000255EF" w:rsidRPr="000A46BD">
              <w:rPr>
                <w:rFonts w:ascii="Arial" w:hAnsi="Arial" w:cs="Arial"/>
                <w:sz w:val="24"/>
                <w:szCs w:val="24"/>
              </w:rPr>
              <w:t>ia, Sintomatologia, Diagnóstico</w:t>
            </w:r>
            <w:r w:rsidR="00624565">
              <w:rPr>
                <w:rFonts w:ascii="Arial" w:hAnsi="Arial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</w:tbl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0A46BD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0A46BD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0A46BD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0A46B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5EF" w:rsidRPr="000255EF" w:rsidRDefault="000255EF" w:rsidP="000255E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bookmarkStart w:id="1" w:name="_Hlk27402764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sensibilidade dolorosa da cabeça é veiculada pelos aferentes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trigeminais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primários que inervam vasos sanguíneos, mucosas, músculos e tecidos. Fibras nervosas, a partir dessas fontes, atingem o gânglio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trigeminal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especialmente através da primeira divisão do nervo trigêmeo (nervo oftálmico). Os aferentes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trigeminais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terminam no núcleo sensitivo principal do V nervo craniano e seu núcleo da raiz espinal, que tem vários pequenos subnúcleos, dos quais o mais importante é o subnúcleo </w:t>
            </w:r>
            <w:proofErr w:type="spellStart"/>
            <w:r w:rsidRPr="000A46BD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caudalis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. Esse subnúcleo recebe aferentes de vasos meníngeos, regiões sensíveis da dura-máter e mesmo da medula cervical superior, que então </w:t>
            </w:r>
            <w:proofErr w:type="gram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projetam-se</w:t>
            </w:r>
            <w:proofErr w:type="gram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para o tálamo medial e lateral através do trato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espinotalâmico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para regiões do diencéfalo e do tronco encefálico envolvidas na regulação de funções autonômicas. Informação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nociceptiva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talâmica ascende para o córtex sensorial, bem como para outras áreas do cérebro.</w:t>
            </w:r>
          </w:p>
          <w:p w:rsidR="000255EF" w:rsidRPr="000255EF" w:rsidRDefault="000255EF" w:rsidP="000255E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Embora dores de cabeça secundárias estimulem a via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nociceptiva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por meio de processos como inflamação e compressão, as cefaleias primárias ocorrem espontaneamente e mediadores químicos estão envolvidos nesse processo. A sequência de eventos começa com ativação periférica causada pelo extravasamento neurogênico do plasma ativado espontaneamente ou pela depressão alastrante cortical. O complexo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trigeminocervical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, especialmente o subnúcleo </w:t>
            </w:r>
            <w:proofErr w:type="spellStart"/>
            <w:r w:rsidRPr="000A46BD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caudalis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é então ativado, e os pacientes podem experimentar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alodinia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, uma condição em que um estímulo não nocivo é percebido como doloroso.</w:t>
            </w:r>
          </w:p>
          <w:p w:rsidR="000255EF" w:rsidRPr="000255EF" w:rsidRDefault="000255EF" w:rsidP="000255E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Aura é definida como um distúrbio focal neurológico visual, sensorial ou motor, que pode ocorrer com ou sem dor de cabeça. A aura parece ocorrer quando a depressão alastrante cortical causa a despolarização das membranas neuronais. Tanto neurônios como células da </w:t>
            </w:r>
            <w:proofErr w:type="spellStart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glia</w:t>
            </w:r>
            <w:proofErr w:type="spellEnd"/>
            <w:r w:rsidRPr="000255EF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podem causar constrição e dilatação dos vasos sanguíneos.</w:t>
            </w:r>
          </w:p>
          <w:p w:rsidR="000255EF" w:rsidRPr="000A46BD" w:rsidRDefault="000255EF" w:rsidP="000255EF">
            <w:pPr>
              <w:pStyle w:val="Ttulo6"/>
              <w:shd w:val="clear" w:color="auto" w:fill="FFFFFF"/>
              <w:spacing w:before="240" w:after="60"/>
              <w:outlineLvl w:val="5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6BD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Manifestações clínicas</w:t>
            </w:r>
          </w:p>
          <w:p w:rsidR="000255EF" w:rsidRPr="000A46BD" w:rsidRDefault="000255EF" w:rsidP="000255EF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Pacientes com dor de cabeça podem descrever a dor como latejante, como uma faixa ou contínua. A dor muitas vezes é unilateral, mas pode ser bilateral. A enxaqueca frequentemente é associada a náuseas, vômitos, fotofobia e fonofobia. Ela pode ser 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lastRenderedPageBreak/>
              <w:t xml:space="preserve">moderada a grave, interferindo nas atividades. Outras manifestações autonômicas que podem acompanhar a enxaqueca, cefaleia em salvas e outras variantes de dor de cabeça incluem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semiptose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, injeção conjuntival, lágrimas,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rinorreia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, síndrome de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Horner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e edema facial. As cefaleias secundárias algumas vezes podem parecer similares a cefaleias tipo tensão ou a enxaqueca, mas “bandeiras vermelhas” podem sugerir um distúrbio secundário mais do que um distúrbio de cefaleias primárias. Deve ser dada atenção particular ao início súbito de cefaleias 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intensas, que frequentemente têm uma causa secundária subjacente</w:t>
            </w:r>
            <w:proofErr w:type="gram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. </w:t>
            </w:r>
          </w:p>
          <w:p w:rsidR="000255EF" w:rsidRPr="000A46BD" w:rsidRDefault="000255EF" w:rsidP="000255EF">
            <w:pPr>
              <w:pStyle w:val="Ttulo6"/>
              <w:shd w:val="clear" w:color="auto" w:fill="FFFFFF"/>
              <w:spacing w:before="240" w:after="60"/>
              <w:outlineLvl w:val="5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6BD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Diagnóstico</w:t>
            </w:r>
          </w:p>
          <w:p w:rsidR="000255EF" w:rsidRPr="000A46BD" w:rsidRDefault="000255EF" w:rsidP="000A46BD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A avaliação da dor de cabeça de um indivíduo é baseada em cinco elementos do histórico. 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O histórico familiar ajuda</w:t>
            </w:r>
            <w:proofErr w:type="gram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a determinar se uma pessoa tem uma predisposição genética para dor de cabeça. Histórico de vida da dor de cabeça determina se a dor de cabeça é nova ou evoluiu ao longo de toda a vida. O histórico da crise fornece as características clínicas da dor de cabeça ou dores de cabeça. O histórico médico e psiquiátrico determina se existem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comorbidades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que podem causar ou piorar a dor de cabeça. A medicação e o histórico do fármaco determinam se a dor de cabeça pode ser causada por ou agravada por medicamentos ou drogas que a pessoa tenha ingerido.</w:t>
            </w:r>
            <w:r w:rsidR="000A46BD"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O diagnóstico do tipo de dor de cabeça é baseado no tipo de dor, na duração da dor de cabeça, e nas</w:t>
            </w:r>
            <w:r w:rsidR="000A46BD"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características que acompanham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. Dores de cabeça secundárias são geralmente devido a uma condição subjace</w:t>
            </w:r>
            <w:r w:rsidR="000A46BD" w:rsidRPr="000A46BD">
              <w:rPr>
                <w:rFonts w:ascii="Arial" w:hAnsi="Arial" w:cs="Arial"/>
                <w:color w:val="1B1B26"/>
                <w:sz w:val="24"/>
                <w:szCs w:val="24"/>
              </w:rPr>
              <w:t>nte, tal como um tumor cerebral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, pressão intracraniana e</w:t>
            </w:r>
            <w:r w:rsidR="000A46BD" w:rsidRPr="000A46BD">
              <w:rPr>
                <w:rFonts w:ascii="Arial" w:hAnsi="Arial" w:cs="Arial"/>
                <w:color w:val="1B1B26"/>
                <w:sz w:val="24"/>
                <w:szCs w:val="24"/>
              </w:rPr>
              <w:t>levada ou baixa, doença sinusal ou malformação vascular.  A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o remover a causa, a dor de cabeça geralmente melhora. Dores de cabeça que ocorrem com frequência inferior a 15 dias por mês são denominadas episódicas, ao passo que as cefaleias que ocorrem por mais de 15 dias por mês são consideradas crônicas.</w:t>
            </w:r>
          </w:p>
          <w:p w:rsidR="000A46BD" w:rsidRPr="000A46BD" w:rsidRDefault="000A46BD" w:rsidP="000A46BD">
            <w:pPr>
              <w:shd w:val="clear" w:color="auto" w:fill="FFFFFF"/>
              <w:ind w:firstLine="240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A avaliação diagnóstica para dor de cabeça depende de achados clínicos. Se há um histórico típico sem qualquer razão para posterior avaliação diagnóstica e se os achados no exame neurológico são completamente normais, nenhuma avaliação adicional é necessária. As características do histórico que são mais prováveis de prever a enxaqueca sem um distúrbio secundário incluem uma qualidade pulsátil, duração de 4 a 72 horas, localização unilateral, náusea e natureza incapacitante. No entanto, se existem características atípicas no histórico ou qualquer anormalidade no exame neurológico, uma avaliação mais aprofundada é indicada. Pacientes com cefaleia em salvas e dores de cabeça de causa indeterminada necessitam de imagens para excluir as causas 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secundárias.</w:t>
            </w:r>
            <w:proofErr w:type="gram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fldChar w:fldCharType="begin"/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instrText xml:space="preserve"> HYPERLINK "https://jigsaw.minhabiblioteca.com.br/books/9788595150706/epub/OEBPS/Text/B978853528490400398X.xhtml?favre=brett" \l "bib90135" </w:instrTex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fldChar w:fldCharType="separate"/>
            </w:r>
            <w:r w:rsidRPr="000A46BD">
              <w:rPr>
                <w:rStyle w:val="Hyperlink"/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fldChar w:fldCharType="end"/>
            </w: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</w:t>
            </w:r>
          </w:p>
          <w:p w:rsidR="000A46BD" w:rsidRPr="000A46BD" w:rsidRDefault="000A46BD" w:rsidP="000A46BD">
            <w:pPr>
              <w:shd w:val="clear" w:color="auto" w:fill="FFFFFF"/>
              <w:ind w:firstLine="240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Em pacientes com dor de cabeça aguda, a tomografia computadorizada (TC) é melhor para avaliar hemorragia aguda como a causa da dor de cabeça, enquanto a ressonância magnética (RM) é melhor para avaliar a maioria das dores de cabeça persistentes à procura de lesões focais, evidências de hipertensão ou hipotensão intracraniana,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hemossiderina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(hemorragia antiga) e anormalidades congênitas (p. ex., malformação de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Chiari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). Em indivíduos com mais de 60 anos de idade com uma dor de cabeça nova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inexplicada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ou incomum, a velocidade de hemossedimentação (VHS) e os níveis de proteína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C-reativa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precisam ser 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determinados</w:t>
            </w:r>
            <w:proofErr w:type="gram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para detecção de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arterite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de células gigantes.  Análise de líquido cefalorraquidiano (LCR), incluindo a pressão de abertura, proteína, glicose,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celularidade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, análise citológica e cultura, é indicada em pacientes com suspeita de hipertensão intracraniana ou meningite.</w:t>
            </w:r>
          </w:p>
          <w:p w:rsidR="000A46BD" w:rsidRPr="000A46BD" w:rsidRDefault="000A46BD" w:rsidP="000A46BD">
            <w:pPr>
              <w:pStyle w:val="Ttulo6"/>
              <w:shd w:val="clear" w:color="auto" w:fill="FFFFFF"/>
              <w:spacing w:before="240" w:after="60"/>
              <w:outlineLvl w:val="5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6BD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Prevenção</w:t>
            </w:r>
          </w:p>
          <w:p w:rsidR="000A46BD" w:rsidRPr="000A46BD" w:rsidRDefault="000A46BD" w:rsidP="000A46BD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Medicações preventivas são recomendadas quando as dores de cabeça são frequentes ou graves o suficiente para interferir na qualidade de vida. A escolha de medicamentos deve ser baseada no tipo de dor de cabeça (enxaqueca, cefaleia tipo tensional), seus perfis de efeitos colaterais e as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comorbidades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do paciente. </w:t>
            </w:r>
          </w:p>
          <w:p w:rsidR="000A46BD" w:rsidRPr="000A46BD" w:rsidRDefault="000A46BD" w:rsidP="000A46BD">
            <w:pPr>
              <w:pStyle w:val="Ttulo6"/>
              <w:shd w:val="clear" w:color="auto" w:fill="FFFFFF"/>
              <w:spacing w:before="240" w:after="60"/>
              <w:outlineLvl w:val="5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6BD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Prognóstico</w:t>
            </w:r>
          </w:p>
          <w:p w:rsidR="000A46BD" w:rsidRPr="000A46BD" w:rsidRDefault="000A46BD" w:rsidP="000A46BD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O histórico natural da dor de cabeça depende de muitos fatores, como tipo de dor de cabeça, as condições de </w:t>
            </w:r>
            <w:proofErr w:type="spell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comorbidade</w:t>
            </w:r>
            <w:proofErr w:type="spellEnd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 xml:space="preserve"> que acompanham a dor de cabeça e o sucesso do tratamento. Os fatores de risco para dor de cabeça crônica incluem sexo feminino, dor tipo enxaqueca, dores de cabeça frequentes, obesidade, baixo nível socioeconômico e educacional, uso excessivo de medicamentos, depressão, ansiedade, eventos estressantes da vida e apneia do sono</w:t>
            </w:r>
            <w:proofErr w:type="gramStart"/>
            <w:r w:rsidRPr="000A46BD">
              <w:rPr>
                <w:rFonts w:ascii="Arial" w:hAnsi="Arial" w:cs="Arial"/>
                <w:color w:val="1B1B26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1B1B26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color w:val="1B1B26"/>
                <w:sz w:val="24"/>
                <w:szCs w:val="24"/>
              </w:rPr>
              <w:t xml:space="preserve"> </w:t>
            </w:r>
          </w:p>
        </w:tc>
      </w:tr>
    </w:tbl>
    <w:bookmarkEnd w:id="1"/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0A46B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0A46BD">
        <w:rPr>
          <w:rFonts w:ascii="Arial" w:hAnsi="Arial" w:cs="Arial"/>
          <w:sz w:val="24"/>
          <w:szCs w:val="24"/>
        </w:rPr>
        <w:t>Referências</w:t>
      </w:r>
    </w:p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0A46B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0A46B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0A46BD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0A46BD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0A46B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0A46BD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Pr="000A46B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0A46BD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0A46BD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0A46BD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0A46BD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0A46B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0A46BD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7F11CD" w:rsidRPr="000A46BD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6BD">
              <w:rPr>
                <w:rFonts w:ascii="Arial" w:hAnsi="Arial" w:cs="Arial"/>
                <w:sz w:val="24"/>
                <w:szCs w:val="24"/>
              </w:rPr>
              <w:t xml:space="preserve">GOLDMAN, Lee; AUSIELLO, Dennis. Cecil Medicina Interna. 25. </w:t>
            </w:r>
            <w:proofErr w:type="gramStart"/>
            <w:r w:rsidRPr="000A46BD">
              <w:rPr>
                <w:rFonts w:ascii="Arial" w:hAnsi="Arial" w:cs="Arial"/>
                <w:sz w:val="24"/>
                <w:szCs w:val="24"/>
              </w:rPr>
              <w:t>ed.</w:t>
            </w:r>
            <w:proofErr w:type="gramEnd"/>
            <w:r w:rsidRPr="000A46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6BD">
              <w:rPr>
                <w:rFonts w:ascii="Arial" w:hAnsi="Arial" w:cs="Arial"/>
                <w:sz w:val="24"/>
                <w:szCs w:val="24"/>
              </w:rPr>
              <w:t>SaundersElsevier</w:t>
            </w:r>
            <w:proofErr w:type="spellEnd"/>
            <w:r w:rsidRPr="000A46BD">
              <w:rPr>
                <w:rFonts w:ascii="Arial" w:hAnsi="Arial" w:cs="Arial"/>
                <w:sz w:val="24"/>
                <w:szCs w:val="24"/>
              </w:rPr>
              <w:t>, 2012.</w:t>
            </w:r>
          </w:p>
        </w:tc>
      </w:tr>
    </w:tbl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0A46B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sectPr w:rsidR="00CF6440" w:rsidRPr="000A4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255EF"/>
    <w:rsid w:val="000A46BD"/>
    <w:rsid w:val="0027456B"/>
    <w:rsid w:val="00421416"/>
    <w:rsid w:val="00624565"/>
    <w:rsid w:val="00662268"/>
    <w:rsid w:val="007F11CD"/>
    <w:rsid w:val="0088189A"/>
    <w:rsid w:val="00CF6440"/>
    <w:rsid w:val="00C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5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">
    <w:name w:val="italic"/>
    <w:basedOn w:val="Fontepargpadro"/>
    <w:rsid w:val="000255EF"/>
  </w:style>
  <w:style w:type="character" w:customStyle="1" w:styleId="Ttulo6Char">
    <w:name w:val="Título 6 Char"/>
    <w:basedOn w:val="Fontepargpadro"/>
    <w:link w:val="Ttulo6"/>
    <w:uiPriority w:val="9"/>
    <w:semiHidden/>
    <w:rsid w:val="000255EF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5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">
    <w:name w:val="italic"/>
    <w:basedOn w:val="Fontepargpadro"/>
    <w:rsid w:val="000255EF"/>
  </w:style>
  <w:style w:type="character" w:customStyle="1" w:styleId="Ttulo6Char">
    <w:name w:val="Título 6 Char"/>
    <w:basedOn w:val="Fontepargpadro"/>
    <w:link w:val="Ttulo6"/>
    <w:uiPriority w:val="9"/>
    <w:semiHidden/>
    <w:rsid w:val="000255EF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gsaw.minhabiblioteca.com.br/books/9788595150706/epub/OEBPS/Text/B978853528490400398X.xhtml?favre=bret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4</cp:revision>
  <dcterms:created xsi:type="dcterms:W3CDTF">2021-02-03T01:35:00Z</dcterms:created>
  <dcterms:modified xsi:type="dcterms:W3CDTF">2021-02-03T01:36:00Z</dcterms:modified>
</cp:coreProperties>
</file>