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Default="00662268" w:rsidP="00912967">
      <w:pPr>
        <w:pStyle w:val="Ttulo1"/>
        <w:jc w:val="both"/>
        <w:rPr>
          <w:rFonts w:ascii="Trebuchet MS" w:eastAsiaTheme="minorHAnsi" w:hAnsi="Trebuchet MS"/>
          <w:sz w:val="24"/>
          <w:szCs w:val="24"/>
        </w:rPr>
      </w:pPr>
      <w:r>
        <w:rPr>
          <w:rFonts w:ascii="Trebuchet MS" w:eastAsiaTheme="minorHAnsi" w:hAnsi="Trebuchet MS"/>
          <w:sz w:val="24"/>
          <w:szCs w:val="24"/>
        </w:rPr>
        <w:t xml:space="preserve">AULA </w:t>
      </w:r>
      <w:proofErr w:type="gramStart"/>
      <w:r>
        <w:rPr>
          <w:rFonts w:ascii="Trebuchet MS" w:eastAsiaTheme="minorHAnsi" w:hAnsi="Trebuchet MS"/>
          <w:sz w:val="24"/>
          <w:szCs w:val="24"/>
        </w:rPr>
        <w:t>1</w:t>
      </w:r>
      <w:proofErr w:type="gramEnd"/>
      <w:r w:rsidR="00CF6440">
        <w:rPr>
          <w:rFonts w:ascii="Trebuchet MS" w:eastAsiaTheme="minorHAnsi" w:hAnsi="Trebuchet MS"/>
          <w:sz w:val="24"/>
          <w:szCs w:val="24"/>
        </w:rPr>
        <w:t xml:space="preserve">: </w:t>
      </w:r>
      <w:r w:rsidR="00912967">
        <w:rPr>
          <w:rFonts w:ascii="Trebuchet MS" w:eastAsiaTheme="minorHAnsi" w:hAnsi="Trebuchet MS"/>
          <w:sz w:val="24"/>
          <w:szCs w:val="24"/>
        </w:rPr>
        <w:t xml:space="preserve">Derrame Pleural e Pneumotórax </w:t>
      </w:r>
    </w:p>
    <w:p w:rsidR="00CF6440" w:rsidRDefault="00CF6440" w:rsidP="00912967">
      <w:pPr>
        <w:spacing w:after="0" w:line="240" w:lineRule="auto"/>
        <w:jc w:val="both"/>
        <w:rPr>
          <w:rFonts w:ascii="Trebuchet MS" w:hAnsi="Trebuchet MS"/>
          <w:color w:val="FF0000"/>
          <w:sz w:val="24"/>
          <w:szCs w:val="24"/>
        </w:rPr>
      </w:pPr>
    </w:p>
    <w:p w:rsidR="00CF6440" w:rsidRPr="00D61890" w:rsidRDefault="00CF6440" w:rsidP="00912967">
      <w:pPr>
        <w:pStyle w:val="Ttulo2"/>
        <w:jc w:val="both"/>
        <w:rPr>
          <w:rFonts w:ascii="Trebuchet MS" w:eastAsiaTheme="minorHAnsi" w:hAnsi="Trebuchet MS"/>
          <w:b/>
          <w:bCs/>
          <w:sz w:val="24"/>
          <w:szCs w:val="24"/>
        </w:rPr>
      </w:pPr>
      <w:r w:rsidRPr="00D61890">
        <w:rPr>
          <w:rFonts w:ascii="Trebuchet MS" w:eastAsiaTheme="minorHAnsi" w:hAnsi="Trebuchet MS"/>
          <w:b/>
          <w:bCs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Default="00912967" w:rsidP="003B27FF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6A39B9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O derrame pleural ocorre com mais frequência nos pacientes com pneumonia ou insuficiência cardíaca.  Normalmente, uma pequena quantidade de líquido no espaço pleural forma uma camada fina entre as superfícies </w:t>
            </w:r>
            <w:proofErr w:type="gramStart"/>
            <w:r w:rsidRPr="006A39B9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pleurais visceral</w:t>
            </w:r>
            <w:proofErr w:type="gramEnd"/>
            <w:r w:rsidRPr="006A39B9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e parietal, e age como lubrificante para minimizar a fricção entre a parede torácica e o pulmão enquanto eles se movem um contra o outro durante a inspiração e a expiração. Existe um movimento contínuo do líquido para dentro e fora do espaço pleural. Esse fluxo depende da pressão oncótica e hidrostática dentro da pleura parietal e visceral, bem como da pressão dentro do espaço pleural propriamente dito. O excesso de fluidos pode acumular-se no espaço pleural em resultado da diminuição de sua remoção (devido à obstrução dos linfáticos pleurais) ou de sua produção aumentada </w:t>
            </w:r>
            <w:proofErr w:type="gramStart"/>
            <w:r w:rsidRPr="006A39B9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(devido ao aumento da pressão hidrostática, diminuição da pressão oncótica, diminuição da pressão no espaço pleural ou diminuição da permeabilidade da membrana pleural.</w:t>
            </w:r>
            <w:proofErr w:type="gramEnd"/>
            <w:r w:rsidRPr="006A39B9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</w:t>
            </w:r>
          </w:p>
          <w:p w:rsidR="00F07D19" w:rsidRPr="006A39B9" w:rsidRDefault="00F07D19" w:rsidP="00F07D19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szCs w:val="24"/>
              </w:rPr>
              <w:t>O pneumotórax é definido como a presença de ar livre na cavidade pleural. O pneumotórax pode ser classificado em espontâneo e adquirido</w:t>
            </w:r>
          </w:p>
        </w:tc>
      </w:tr>
    </w:tbl>
    <w:p w:rsidR="00CF6440" w:rsidRDefault="00CF6440" w:rsidP="00CF6440">
      <w:pPr>
        <w:spacing w:after="0" w:line="240" w:lineRule="auto"/>
        <w:rPr>
          <w:rFonts w:ascii="Trebuchet MS" w:hAnsi="Trebuchet MS"/>
          <w:color w:val="FF0000"/>
          <w:sz w:val="24"/>
          <w:szCs w:val="24"/>
        </w:rPr>
      </w:pPr>
    </w:p>
    <w:p w:rsidR="00CF6440" w:rsidRPr="00D61890" w:rsidRDefault="00CF6440" w:rsidP="00CF6440">
      <w:pPr>
        <w:pStyle w:val="Ttulo2"/>
        <w:rPr>
          <w:rFonts w:ascii="Trebuchet MS" w:eastAsiaTheme="minorHAnsi" w:hAnsi="Trebuchet MS"/>
          <w:b/>
          <w:bCs/>
          <w:sz w:val="24"/>
          <w:szCs w:val="24"/>
        </w:rPr>
      </w:pPr>
      <w:r w:rsidRPr="00D61890">
        <w:rPr>
          <w:rFonts w:ascii="Trebuchet MS" w:eastAsiaTheme="minorHAnsi" w:hAnsi="Trebuchet MS"/>
          <w:b/>
          <w:bCs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6A39B9" w:rsidRDefault="00CF6440" w:rsidP="000A42D1">
            <w:pPr>
              <w:pStyle w:val="Comentrio"/>
              <w:rPr>
                <w:rFonts w:ascii="Arial" w:hAnsi="Arial" w:cs="Arial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  <w:r w:rsidRPr="006A39B9">
              <w:rPr>
                <w:rFonts w:ascii="Arial" w:hAnsi="Arial" w:cs="Arial"/>
                <w:szCs w:val="24"/>
              </w:rPr>
              <w:t>Neste encontro você deve compreender:</w:t>
            </w:r>
          </w:p>
          <w:p w:rsidR="003B27FF" w:rsidRPr="006A39B9" w:rsidRDefault="003B27FF" w:rsidP="003B27F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6A39B9">
              <w:rPr>
                <w:rFonts w:ascii="Arial" w:hAnsi="Arial" w:cs="Arial"/>
                <w:b/>
                <w:bCs/>
                <w:sz w:val="24"/>
                <w:szCs w:val="24"/>
              </w:rPr>
              <w:t>Definição, fisiopatologia e história clinica</w:t>
            </w:r>
            <w:proofErr w:type="gramEnd"/>
            <w:r w:rsidRPr="006A39B9">
              <w:rPr>
                <w:rFonts w:ascii="Arial" w:hAnsi="Arial" w:cs="Arial"/>
                <w:b/>
                <w:bCs/>
                <w:sz w:val="24"/>
                <w:szCs w:val="24"/>
              </w:rPr>
              <w:t>, exame físico e complementar</w:t>
            </w:r>
            <w:r w:rsidR="00B37CF4">
              <w:rPr>
                <w:rFonts w:ascii="Arial" w:hAnsi="Arial" w:cs="Arial"/>
                <w:b/>
                <w:bCs/>
                <w:sz w:val="24"/>
                <w:szCs w:val="24"/>
              </w:rPr>
              <w:t>, condução</w:t>
            </w:r>
            <w:r w:rsidRPr="006A39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derrame pleural </w:t>
            </w:r>
          </w:p>
          <w:p w:rsidR="003B27FF" w:rsidRPr="003B27FF" w:rsidRDefault="003B27FF" w:rsidP="003B27F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6A39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Definição, fisiopatologia, história clínica, exame físico </w:t>
            </w:r>
            <w:r w:rsidR="00B37C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condução </w:t>
            </w:r>
            <w:r w:rsidRPr="006A39B9">
              <w:rPr>
                <w:rFonts w:ascii="Arial" w:hAnsi="Arial" w:cs="Arial"/>
                <w:b/>
                <w:bCs/>
                <w:sz w:val="24"/>
                <w:szCs w:val="24"/>
              </w:rPr>
              <w:t>do pneumotórax.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F6440" w:rsidRDefault="00CF6440" w:rsidP="00CF6440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CF6440" w:rsidRDefault="00CF6440" w:rsidP="00CF6440">
      <w:pPr>
        <w:pStyle w:val="Ttulo1"/>
        <w:rPr>
          <w:rFonts w:ascii="Trebuchet MS" w:eastAsiaTheme="minorHAnsi" w:hAnsi="Trebuchet MS"/>
          <w:sz w:val="24"/>
          <w:szCs w:val="24"/>
        </w:rPr>
      </w:pPr>
    </w:p>
    <w:p w:rsidR="00CF6440" w:rsidRPr="006A39B9" w:rsidRDefault="00CF6440" w:rsidP="00CF6440">
      <w:pPr>
        <w:pStyle w:val="Ttulo1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6A39B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Objetivo 1 –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6A39B9" w:rsidRPr="004869B3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440" w:rsidRPr="004869B3" w:rsidRDefault="006A39B9" w:rsidP="000A42D1">
            <w:pPr>
              <w:pStyle w:val="Comentrio"/>
              <w:ind w:firstLine="709"/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</w:pPr>
            <w:bookmarkStart w:id="0" w:name="_Hlk27402764"/>
            <w:r w:rsidRPr="004869B3">
              <w:rPr>
                <w:rFonts w:ascii="Arial" w:hAnsi="Arial" w:cs="Arial"/>
                <w:color w:val="000000" w:themeColor="text1"/>
                <w:szCs w:val="24"/>
                <w:shd w:val="clear" w:color="auto" w:fill="FFFFFF"/>
              </w:rPr>
              <w:t>Derrame pleural é definido como acúmulo de líquido no espaço pleural. Normalmente, esse espaço está preenchido por uma fina camada de líquido que permite a facilitação dos movimentos dos pulmões.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O derrame pleural é uma manifestação comum de doenças pleurais primárias e secundárias, que podem ser inflamatórias ou não inflamatórias. Normalmente, não mais do que 15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mL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de um líquido seroso, relativamente acelular e claro, lubrificam a superfície pleural. O acúmulo de líquido pleural ocorre nas seguintes situações: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lastRenderedPageBreak/>
              <w:t xml:space="preserve"> • Aumento da pressão hidrostática, como na insuficiência cardíaca congestiva.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 • Aumento da permeabilidade vascular, como na pneumonia. 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• Diminuição da pressão osmótica, como na síndrome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nefrótica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. 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• Aumento da pressão negativa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intrapleural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>, como na atelectasia.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 • Diminuição da drenagem linfática, como na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carcinomatose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mediastinal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>.</w:t>
            </w:r>
          </w:p>
          <w:p w:rsidR="006C27B0" w:rsidRPr="004869B3" w:rsidRDefault="006C27B0" w:rsidP="000A42D1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Os pacientes com derrame pleural podem ser assintomáticos ou apresentar dispneia. Quando a pleura parietal está ativamente inflamada, a dor pode estar presente e é geralmente unilateral, aguda e piora com a inspiração. Às vezes, a efusão pode ser suficientemente grande para contribuir com a insuficiência respirató</w:t>
            </w:r>
            <w:r w:rsidR="00220328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ria. Os achados físicos incluem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macicez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à percussão na área do derrame, juntamente com murmúrios vesiculares reduzidos e frêmito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toracovocal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</w:t>
            </w:r>
            <w:r w:rsidR="00220328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ausente. </w:t>
            </w:r>
          </w:p>
          <w:p w:rsidR="004C535A" w:rsidRPr="004869B3" w:rsidRDefault="00220328" w:rsidP="004C535A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A radiografia de tórax é frequentemente o primeiro método de imagem usado para detectar o derrame pleural. O volume de líquido no espaço pleural precisa exceder 250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mL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para ser visualizado na radiografia de tórax. Quando um derrame está presente, ocorre o velamento do seio costofrênico na radiografia torácica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posteroanterior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. </w:t>
            </w:r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 Uma radiografia do tórax em decúbito lateral pode ser obtida para determinar se o líquido está fluindo livremente ou </w:t>
            </w:r>
            <w:proofErr w:type="spellStart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loculado</w:t>
            </w:r>
            <w:proofErr w:type="spellEnd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. A TC do tórax fornece uma caracterização muito melhor das anormalidades pleurais e parenquimatosas porque </w:t>
            </w:r>
            <w:proofErr w:type="gramStart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define</w:t>
            </w:r>
            <w:proofErr w:type="gramEnd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melhor os derrames </w:t>
            </w:r>
            <w:proofErr w:type="spellStart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loculados</w:t>
            </w:r>
            <w:proofErr w:type="spellEnd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, distinguindo atelectasia de derrame pleural e derrame </w:t>
            </w:r>
            <w:proofErr w:type="spellStart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loculado</w:t>
            </w:r>
            <w:proofErr w:type="spellEnd"/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de abscesso pulmonar ou outros processos parenquimatosos. A ultrassonografia mostra a presença de liquido, mais barato que a TC, mais rápido e mais simples, ajuda para guiar o ponto de punção. </w:t>
            </w:r>
          </w:p>
          <w:p w:rsidR="004C535A" w:rsidRPr="004869B3" w:rsidRDefault="004C535A" w:rsidP="004C535A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Para determinar a etiologia do derrame, pode ser coletada uma amostra de líquido do espaço pleural por toracocentese. Os testes necessários para firmar um diagnóstico exigem uma quantidade relativamente pequena de líquido (30 a 50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mL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). Volumes maiores de líquido podem ser removidos (</w:t>
            </w:r>
            <w:proofErr w:type="gram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1</w:t>
            </w:r>
            <w:proofErr w:type="gram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a 1,5 L) na tentativa de aliviar os sintomas. A remoção de volumes acima de 1,5 L pode resultar no edema pulmonar de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reexpansão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. A maioria das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toracenteses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pode ser realizada no leito, usando a orientação do ultrassom para aumentar a segurança do procedimento.</w:t>
            </w:r>
          </w:p>
          <w:p w:rsidR="00B37CF4" w:rsidRPr="004869B3" w:rsidRDefault="004C535A" w:rsidP="00B37CF4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Uma vez que o líquido é obtido, o diagnóstico definitivo pode ser firmado e o líquido pode ser classificado</w:t>
            </w:r>
            <w:r w:rsidR="00B37CF4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como um </w:t>
            </w:r>
            <w:proofErr w:type="spellStart"/>
            <w:r w:rsidR="00B37CF4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transudato</w:t>
            </w:r>
            <w:proofErr w:type="spellEnd"/>
            <w:r w:rsidR="00B37CF4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ou exsudato.</w:t>
            </w:r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 Para diferenciar um exsudato de um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transudato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, o fluido pleural precisa ser analisado quanto à proteína e à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desidrogenase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lática (DHL). Os valores séricos simultâneos de proteína e DHL também precisam ser obtidos. Um exsudato é caracterizado por uma relação proteína do líquido pleural/proteína sérica acima de 0,5, ou </w:t>
            </w:r>
            <w:proofErr w:type="gram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uma relação líquido pleural/DHL sérica acima de 0,6 e a DHL do líquido pleural acima de dois terços </w:t>
            </w:r>
            <w:r w:rsidR="00B37CF4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do valor sérico normal para DHL</w:t>
            </w:r>
            <w:proofErr w:type="gramEnd"/>
            <w:r w:rsidR="00B37CF4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. </w:t>
            </w:r>
          </w:p>
          <w:p w:rsidR="00B37CF4" w:rsidRPr="004869B3" w:rsidRDefault="00B37CF4" w:rsidP="00B37CF4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 O derrame pleural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transudativo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é mais comumente decorrente da insuficiência cardíaca, na qual o derrame pleural é muitas vezes bilateral ou, se unilateral, envolve preferencialmente o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hemitórax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direito</w:t>
            </w:r>
            <w:proofErr w:type="gram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..</w:t>
            </w:r>
            <w:proofErr w:type="gram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Os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transudatos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 também podem ser vistos na cirrose, síndrome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nefrótica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mixedema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 xml:space="preserve">, embolia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pulmona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, obstrução da veia cava superior e diálise peritoneal</w:t>
            </w:r>
            <w:r w:rsidR="004C535A" w:rsidRPr="004869B3">
              <w:rPr>
                <w:rFonts w:ascii="Arial" w:hAnsi="Arial" w:cs="Arial"/>
                <w:color w:val="1B1B26"/>
                <w:szCs w:val="24"/>
                <w:shd w:val="clear" w:color="auto" w:fill="FFFFFF"/>
              </w:rPr>
              <w:t>.</w:t>
            </w:r>
          </w:p>
          <w:p w:rsidR="00B37CF4" w:rsidRPr="004869B3" w:rsidRDefault="00B37CF4" w:rsidP="00B37CF4">
            <w:pPr>
              <w:pStyle w:val="Comentrio"/>
              <w:ind w:firstLine="709"/>
              <w:rPr>
                <w:rFonts w:ascii="Arial" w:hAnsi="Arial" w:cs="Arial"/>
                <w:color w:val="1B1B26"/>
                <w:szCs w:val="24"/>
              </w:rPr>
            </w:pPr>
            <w:r w:rsidRPr="004869B3">
              <w:rPr>
                <w:rFonts w:ascii="Arial" w:hAnsi="Arial" w:cs="Arial"/>
                <w:color w:val="1B1B26"/>
                <w:szCs w:val="24"/>
              </w:rPr>
              <w:t xml:space="preserve">Os derrames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</w:rPr>
              <w:t>exsudativos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</w:rPr>
              <w:t xml:space="preserve">, que decorrem de uma alteração da permeabilidade vascular e/ou da reabsorção do líquido pleural, podem ser observados em estados inflamatórios, infecção ou neoplasias. O derrame pleural é caracterizado como exsudato quando preenche </w:t>
            </w:r>
            <w:r w:rsidRPr="004869B3">
              <w:rPr>
                <w:rFonts w:ascii="Arial" w:hAnsi="Arial" w:cs="Arial"/>
                <w:b/>
                <w:color w:val="1B1B26"/>
                <w:szCs w:val="24"/>
              </w:rPr>
              <w:t>um</w:t>
            </w:r>
            <w:r w:rsidRPr="004869B3">
              <w:rPr>
                <w:rFonts w:ascii="Arial" w:hAnsi="Arial" w:cs="Arial"/>
                <w:color w:val="1B1B26"/>
                <w:szCs w:val="24"/>
              </w:rPr>
              <w:t xml:space="preserve"> dos seguintes critérios: </w:t>
            </w:r>
            <w:proofErr w:type="gramStart"/>
            <w:r w:rsidRPr="004869B3">
              <w:rPr>
                <w:rFonts w:ascii="Arial" w:hAnsi="Arial" w:cs="Arial"/>
                <w:color w:val="1B1B26"/>
                <w:szCs w:val="24"/>
              </w:rPr>
              <w:t>relação líquido pleural/proteína sérica acima de 0,5, relação líquido pleural/DHL sérica acima de 0,6 ou concentração de DHL do líquido pleural acima de dois terços do valor sérico normal</w:t>
            </w:r>
            <w:proofErr w:type="gramEnd"/>
            <w:r w:rsidRPr="004869B3">
              <w:rPr>
                <w:rFonts w:ascii="Arial" w:hAnsi="Arial" w:cs="Arial"/>
                <w:color w:val="1B1B26"/>
                <w:szCs w:val="24"/>
              </w:rPr>
              <w:t xml:space="preserve">. Quando os três critérios são preenchidos, a sensibilidade, especificidade e o valor preditivo positivo ultrapassam os 98% na definição de derrame </w:t>
            </w:r>
            <w:proofErr w:type="spellStart"/>
            <w:r w:rsidRPr="004869B3">
              <w:rPr>
                <w:rFonts w:ascii="Arial" w:hAnsi="Arial" w:cs="Arial"/>
                <w:color w:val="1B1B26"/>
                <w:szCs w:val="24"/>
              </w:rPr>
              <w:t>exsudativo</w:t>
            </w:r>
            <w:proofErr w:type="spellEnd"/>
            <w:r w:rsidRPr="004869B3">
              <w:rPr>
                <w:rFonts w:ascii="Arial" w:hAnsi="Arial" w:cs="Arial"/>
                <w:color w:val="1B1B26"/>
                <w:szCs w:val="24"/>
              </w:rPr>
              <w:t xml:space="preserve">. </w:t>
            </w:r>
          </w:p>
          <w:p w:rsidR="004C535A" w:rsidRPr="004869B3" w:rsidRDefault="00B37CF4" w:rsidP="00B37CF4">
            <w:pPr>
              <w:pStyle w:val="Comentrio"/>
              <w:ind w:firstLine="709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4869B3">
              <w:rPr>
                <w:rFonts w:ascii="Arial" w:hAnsi="Arial" w:cs="Arial"/>
                <w:szCs w:val="24"/>
                <w:shd w:val="clear" w:color="auto" w:fill="FFFFFF"/>
              </w:rPr>
              <w:t xml:space="preserve">O tratamento vai depender da causa base e a retirada de líquido alivia os sintomas do paciente. A drenagem deverá ser feita em casos de Hemotórax e Derrame Pleural </w:t>
            </w:r>
            <w:proofErr w:type="spellStart"/>
            <w:r w:rsidRPr="004869B3">
              <w:rPr>
                <w:rFonts w:ascii="Arial" w:hAnsi="Arial" w:cs="Arial"/>
                <w:szCs w:val="24"/>
                <w:shd w:val="clear" w:color="auto" w:fill="FFFFFF"/>
              </w:rPr>
              <w:t>Parapneumônico</w:t>
            </w:r>
            <w:proofErr w:type="spellEnd"/>
            <w:r w:rsidRPr="004869B3">
              <w:rPr>
                <w:rFonts w:ascii="Arial" w:hAnsi="Arial" w:cs="Arial"/>
                <w:szCs w:val="24"/>
                <w:shd w:val="clear" w:color="auto" w:fill="FFFFFF"/>
              </w:rPr>
              <w:t xml:space="preserve"> complicado.</w:t>
            </w:r>
          </w:p>
        </w:tc>
      </w:tr>
      <w:bookmarkEnd w:id="0"/>
    </w:tbl>
    <w:p w:rsidR="00CF6440" w:rsidRPr="004869B3" w:rsidRDefault="00CF6440">
      <w:pPr>
        <w:rPr>
          <w:rFonts w:ascii="Arial" w:hAnsi="Arial" w:cs="Arial"/>
          <w:sz w:val="24"/>
          <w:szCs w:val="24"/>
        </w:rPr>
      </w:pPr>
    </w:p>
    <w:p w:rsidR="00CF6440" w:rsidRPr="004869B3" w:rsidRDefault="00CF6440" w:rsidP="00CF6440">
      <w:pPr>
        <w:pStyle w:val="Ttulo1"/>
        <w:jc w:val="both"/>
        <w:rPr>
          <w:rFonts w:ascii="Arial" w:eastAsiaTheme="minorHAnsi" w:hAnsi="Arial" w:cs="Arial"/>
          <w:sz w:val="24"/>
          <w:szCs w:val="24"/>
        </w:rPr>
      </w:pPr>
      <w:r w:rsidRPr="004869B3">
        <w:rPr>
          <w:rFonts w:ascii="Arial" w:eastAsiaTheme="minorHAnsi" w:hAnsi="Arial" w:cs="Arial"/>
          <w:sz w:val="24"/>
          <w:szCs w:val="24"/>
        </w:rPr>
        <w:t xml:space="preserve">Objetivo 2 –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4869B3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440" w:rsidRPr="004869B3" w:rsidRDefault="00B37CF4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>O pneumotórax é definido como a presença de ar livre na cavidade pleura</w:t>
            </w:r>
            <w:r w:rsidR="00842EE5" w:rsidRPr="004869B3">
              <w:rPr>
                <w:rFonts w:ascii="Arial" w:hAnsi="Arial" w:cs="Arial"/>
                <w:szCs w:val="24"/>
              </w:rPr>
              <w:t xml:space="preserve">l. O pneumotórax pode ser classificado em espontâneo e adquirido. O pneumotórax espontâneo primário ocorre em pacientes sem doença pulmonar evidente. O pneumotórax espontâneo secundário ocorre como complicação de doença pulmonar conhecida, como enfisema </w:t>
            </w:r>
            <w:proofErr w:type="spellStart"/>
            <w:r w:rsidR="00842EE5" w:rsidRPr="004869B3">
              <w:rPr>
                <w:rFonts w:ascii="Arial" w:hAnsi="Arial" w:cs="Arial"/>
                <w:szCs w:val="24"/>
              </w:rPr>
              <w:t>bolhoso</w:t>
            </w:r>
            <w:proofErr w:type="spellEnd"/>
            <w:r w:rsidR="00842EE5" w:rsidRPr="004869B3">
              <w:rPr>
                <w:rFonts w:ascii="Arial" w:hAnsi="Arial" w:cs="Arial"/>
                <w:szCs w:val="24"/>
              </w:rPr>
              <w:t>, asma, ou rolha de secreção em paciente com doença pulmonar obstrutiva crônica.</w:t>
            </w:r>
          </w:p>
          <w:p w:rsidR="00842EE5" w:rsidRPr="004869B3" w:rsidRDefault="00842EE5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No pneumotórax espontâneo primário, são encontradas bolhas ou lesões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subpleurais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, particularmente nos ápices, em 76% a 100% dos pacientes submetidos </w:t>
            </w:r>
            <w:proofErr w:type="gramStart"/>
            <w:r w:rsidRPr="004869B3">
              <w:rPr>
                <w:rFonts w:ascii="Arial" w:hAnsi="Arial" w:cs="Arial"/>
                <w:szCs w:val="24"/>
              </w:rPr>
              <w:t>a</w:t>
            </w:r>
            <w:proofErr w:type="gramEnd"/>
            <w:r w:rsidRPr="004869B3">
              <w:rPr>
                <w:rFonts w:ascii="Arial" w:hAnsi="Arial" w:cs="Arial"/>
                <w:szCs w:val="24"/>
              </w:rPr>
              <w:t xml:space="preserve"> cirurgia torácica vídeo-assistida, e virtualmente em todos os pacientes submetidos a toracotomia. A rotura dessas bolhas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subpleurais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é o fator responsável por este tipo de pneumotórax. Há ainda uma tendência familiar genética por transmissão autossômica dominante. O tabagismo aumenta muito os riscos de aparecimento de pneumotórax espontâneo primário. Parece evidente que a incidência de pneumotórax espontâneo primário é proporcional ao grau de consumo de cigarro. </w:t>
            </w:r>
          </w:p>
          <w:p w:rsidR="00842EE5" w:rsidRPr="004869B3" w:rsidRDefault="00842EE5" w:rsidP="00842EE5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O pneumotórax espontâneo geralmente ocorre com o paciente em repouso, raramente durante exercício. Dor torácica e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dispnéia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são os sintomas mais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freqüentes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. A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dispnéia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normalmente é proporcional ao tamanho e à velocidade de acúmulo do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pneumotorax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e à reserva cardiopulmonar do paciente. A dor torácica caracteriza-se por ser aguda e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ipsilateral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>.</w:t>
            </w:r>
          </w:p>
          <w:p w:rsidR="00842EE5" w:rsidRPr="004869B3" w:rsidRDefault="00842EE5" w:rsidP="00842EE5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Ao exame físico, geralmente observa-se redução do murmúrio vesicular e do frêmito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tóraco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-vocal, diminuição local da expansibilidade torácica com aumento do volume do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hemitórax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envolvido e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timpanismo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 à percussão. Não é rara a ocorrência simultânea de enfisema subcutâneo e/ou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pneumomediastino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>, dependendo da causa do pneumotórax.</w:t>
            </w:r>
          </w:p>
          <w:p w:rsidR="00842EE5" w:rsidRPr="004869B3" w:rsidRDefault="00842EE5" w:rsidP="00842EE5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O tratamento do pneumotórax é muito variado e depende de vários fatores. Podem ser tomadas condutas desde tratamentos mais conservadores, como a observação domiciliar, até a toracotomia com ressecção pulmonar e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pleurectomia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>.</w:t>
            </w:r>
          </w:p>
          <w:p w:rsidR="00842EE5" w:rsidRPr="004869B3" w:rsidRDefault="00842EE5" w:rsidP="000A42D1">
            <w:pPr>
              <w:pStyle w:val="Comentrio"/>
              <w:ind w:firstLine="709"/>
              <w:rPr>
                <w:rFonts w:ascii="Arial" w:hAnsi="Arial" w:cs="Arial"/>
                <w:szCs w:val="24"/>
              </w:rPr>
            </w:pPr>
            <w:r w:rsidRPr="004869B3">
              <w:rPr>
                <w:rFonts w:ascii="Arial" w:hAnsi="Arial" w:cs="Arial"/>
                <w:szCs w:val="24"/>
              </w:rPr>
              <w:t xml:space="preserve">O pneumotórax iatrogênico é secundário a algum procedimento médico invasivo, de uma simples toracocentese até biópsias </w:t>
            </w:r>
            <w:proofErr w:type="spellStart"/>
            <w:r w:rsidRPr="004869B3">
              <w:rPr>
                <w:rFonts w:ascii="Arial" w:hAnsi="Arial" w:cs="Arial"/>
                <w:szCs w:val="24"/>
              </w:rPr>
              <w:t>trans-torácicas</w:t>
            </w:r>
            <w:proofErr w:type="spellEnd"/>
            <w:r w:rsidRPr="004869B3">
              <w:rPr>
                <w:rFonts w:ascii="Arial" w:hAnsi="Arial" w:cs="Arial"/>
                <w:szCs w:val="24"/>
              </w:rPr>
              <w:t xml:space="preserve">. </w:t>
            </w:r>
          </w:p>
        </w:tc>
      </w:tr>
    </w:tbl>
    <w:p w:rsidR="00CF6440" w:rsidRPr="004869B3" w:rsidRDefault="00CF6440" w:rsidP="00CF6440">
      <w:pPr>
        <w:pStyle w:val="Ttulo1"/>
        <w:jc w:val="both"/>
        <w:rPr>
          <w:rFonts w:ascii="Arial" w:eastAsiaTheme="minorHAnsi" w:hAnsi="Arial" w:cs="Arial"/>
          <w:sz w:val="24"/>
          <w:szCs w:val="24"/>
        </w:rPr>
      </w:pPr>
    </w:p>
    <w:p w:rsidR="00CF6440" w:rsidRPr="004869B3" w:rsidRDefault="00842EE5" w:rsidP="00CF6440">
      <w:pPr>
        <w:pStyle w:val="Ttulo1"/>
        <w:rPr>
          <w:rFonts w:ascii="Arial" w:eastAsiaTheme="minorHAnsi" w:hAnsi="Arial" w:cs="Arial"/>
          <w:sz w:val="24"/>
          <w:szCs w:val="24"/>
        </w:rPr>
      </w:pPr>
      <w:r w:rsidRPr="004869B3">
        <w:rPr>
          <w:rFonts w:ascii="Arial" w:eastAsiaTheme="minorHAnsi" w:hAnsi="Arial" w:cs="Arial"/>
          <w:sz w:val="24"/>
          <w:szCs w:val="24"/>
        </w:rPr>
        <w:t>Re</w:t>
      </w:r>
      <w:r w:rsidR="00CF6440" w:rsidRPr="004869B3">
        <w:rPr>
          <w:rFonts w:ascii="Arial" w:eastAsiaTheme="minorHAnsi" w:hAnsi="Arial" w:cs="Arial"/>
          <w:sz w:val="24"/>
          <w:szCs w:val="24"/>
        </w:rPr>
        <w:t>ferências</w:t>
      </w:r>
      <w:r w:rsidR="005935CA">
        <w:rPr>
          <w:rFonts w:ascii="Arial" w:eastAsiaTheme="minorHAnsi" w:hAnsi="Arial" w:cs="Arial"/>
          <w:sz w:val="24"/>
          <w:szCs w:val="24"/>
        </w:rPr>
        <w:t xml:space="preserve">: </w:t>
      </w:r>
    </w:p>
    <w:p w:rsidR="00CF6440" w:rsidRPr="004869B3" w:rsidRDefault="00CF6440" w:rsidP="00CF6440">
      <w:pPr>
        <w:pStyle w:val="Ttulo2"/>
        <w:rPr>
          <w:rFonts w:ascii="Arial" w:eastAsiaTheme="minorHAnsi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97"/>
      </w:tblGrid>
      <w:tr w:rsidR="00CF6440" w:rsidRPr="004869B3" w:rsidTr="0032327A">
        <w:trPr>
          <w:trHeight w:val="3434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4869B3" w:rsidRDefault="00CF6440" w:rsidP="000A42D1">
            <w:pPr>
              <w:pStyle w:val="listitem"/>
              <w:spacing w:before="120" w:beforeAutospacing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4869B3">
              <w:rPr>
                <w:rFonts w:ascii="Arial" w:eastAsiaTheme="minorHAnsi" w:hAnsi="Arial" w:cs="Arial"/>
                <w:lang w:eastAsia="en-US"/>
              </w:rPr>
              <w:t>KUMAR, V; ABBAS, A. K</w:t>
            </w:r>
            <w:proofErr w:type="gramStart"/>
            <w:r w:rsidRPr="004869B3">
              <w:rPr>
                <w:rFonts w:ascii="Arial" w:eastAsiaTheme="minorHAnsi" w:hAnsi="Arial" w:cs="Arial"/>
                <w:lang w:eastAsia="en-US"/>
              </w:rPr>
              <w:t>.;</w:t>
            </w:r>
            <w:proofErr w:type="gramEnd"/>
            <w:r w:rsidRPr="004869B3">
              <w:rPr>
                <w:rFonts w:ascii="Arial" w:eastAsiaTheme="minorHAnsi" w:hAnsi="Arial" w:cs="Arial"/>
                <w:lang w:eastAsia="en-US"/>
              </w:rPr>
              <w:t xml:space="preserve"> ASTER, J. C. </w:t>
            </w:r>
            <w:r w:rsidRPr="004869B3">
              <w:rPr>
                <w:rFonts w:ascii="Arial" w:eastAsiaTheme="minorHAnsi" w:hAnsi="Arial" w:cs="Arial"/>
                <w:b/>
                <w:bCs/>
                <w:lang w:eastAsia="en-US"/>
              </w:rPr>
              <w:t>Robbins, patologia básica.</w:t>
            </w:r>
            <w:r w:rsidRPr="004869B3">
              <w:rPr>
                <w:rFonts w:ascii="Arial" w:eastAsiaTheme="minorHAnsi" w:hAnsi="Arial" w:cs="Arial"/>
                <w:lang w:eastAsia="en-US"/>
              </w:rPr>
              <w:t xml:space="preserve"> Rio de Janeiro: </w:t>
            </w:r>
            <w:proofErr w:type="spellStart"/>
            <w:r w:rsidRPr="004869B3">
              <w:rPr>
                <w:rFonts w:ascii="Arial" w:eastAsiaTheme="minorHAnsi" w:hAnsi="Arial" w:cs="Arial"/>
                <w:lang w:eastAsia="en-US"/>
              </w:rPr>
              <w:t>Elsevier</w:t>
            </w:r>
            <w:proofErr w:type="spellEnd"/>
            <w:r w:rsidRPr="004869B3">
              <w:rPr>
                <w:rFonts w:ascii="Arial" w:eastAsiaTheme="minorHAnsi" w:hAnsi="Arial" w:cs="Arial"/>
                <w:lang w:eastAsia="en-US"/>
              </w:rPr>
              <w:t xml:space="preserve">, 2013. </w:t>
            </w:r>
          </w:p>
          <w:p w:rsidR="00CF6440" w:rsidRPr="004869B3" w:rsidRDefault="00CF6440" w:rsidP="000A42D1">
            <w:pPr>
              <w:pStyle w:val="listitem"/>
              <w:spacing w:before="12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4869B3">
              <w:rPr>
                <w:rFonts w:ascii="Arial" w:eastAsiaTheme="minorHAnsi" w:hAnsi="Arial" w:cs="Arial"/>
                <w:lang w:eastAsia="en-US"/>
              </w:rPr>
              <w:t xml:space="preserve">KUMAR, V. </w:t>
            </w:r>
            <w:proofErr w:type="gramStart"/>
            <w:r w:rsidRPr="004869B3">
              <w:rPr>
                <w:rFonts w:ascii="Arial" w:eastAsiaTheme="minorHAnsi" w:hAnsi="Arial" w:cs="Arial"/>
                <w:lang w:eastAsia="en-US"/>
              </w:rPr>
              <w:t>et</w:t>
            </w:r>
            <w:proofErr w:type="gramEnd"/>
            <w:r w:rsidRPr="004869B3">
              <w:rPr>
                <w:rFonts w:ascii="Arial" w:eastAsiaTheme="minorHAnsi" w:hAnsi="Arial" w:cs="Arial"/>
                <w:lang w:eastAsia="en-US"/>
              </w:rPr>
              <w:t xml:space="preserve"> al. </w:t>
            </w:r>
            <w:r w:rsidRPr="004869B3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Robbins e </w:t>
            </w:r>
            <w:proofErr w:type="spellStart"/>
            <w:r w:rsidRPr="004869B3">
              <w:rPr>
                <w:rFonts w:ascii="Arial" w:eastAsiaTheme="minorHAnsi" w:hAnsi="Arial" w:cs="Arial"/>
                <w:b/>
                <w:bCs/>
                <w:lang w:eastAsia="en-US"/>
              </w:rPr>
              <w:t>Cotran</w:t>
            </w:r>
            <w:proofErr w:type="spellEnd"/>
            <w:r w:rsidRPr="004869B3">
              <w:rPr>
                <w:rFonts w:ascii="Arial" w:eastAsiaTheme="minorHAnsi" w:hAnsi="Arial" w:cs="Arial"/>
                <w:b/>
                <w:bCs/>
                <w:lang w:eastAsia="en-US"/>
              </w:rPr>
              <w:t>, bases patológicas das doenças.</w:t>
            </w:r>
            <w:r w:rsidRPr="004869B3">
              <w:rPr>
                <w:rFonts w:ascii="Arial" w:eastAsiaTheme="minorHAnsi" w:hAnsi="Arial" w:cs="Arial"/>
                <w:lang w:eastAsia="en-US"/>
              </w:rPr>
              <w:t xml:space="preserve"> Rio de Janeiro: </w:t>
            </w:r>
            <w:proofErr w:type="spellStart"/>
            <w:r w:rsidRPr="004869B3">
              <w:rPr>
                <w:rFonts w:ascii="Arial" w:eastAsiaTheme="minorHAnsi" w:hAnsi="Arial" w:cs="Arial"/>
                <w:lang w:eastAsia="en-US"/>
              </w:rPr>
              <w:t>Elsevier</w:t>
            </w:r>
            <w:proofErr w:type="spellEnd"/>
            <w:r w:rsidRPr="004869B3">
              <w:rPr>
                <w:rFonts w:ascii="Arial" w:eastAsiaTheme="minorHAnsi" w:hAnsi="Arial" w:cs="Arial"/>
                <w:lang w:eastAsia="en-US"/>
              </w:rPr>
              <w:t>, 2010.</w:t>
            </w:r>
          </w:p>
          <w:p w:rsidR="004869B3" w:rsidRPr="004869B3" w:rsidRDefault="004869B3" w:rsidP="000A42D1">
            <w:pPr>
              <w:pStyle w:val="listitem"/>
              <w:spacing w:before="120"/>
              <w:jc w:val="both"/>
              <w:rPr>
                <w:rFonts w:ascii="Arial" w:hAnsi="Arial" w:cs="Arial"/>
              </w:rPr>
            </w:pPr>
            <w:r w:rsidRPr="004869B3">
              <w:rPr>
                <w:rFonts w:ascii="Arial" w:hAnsi="Arial" w:cs="Arial"/>
                <w:b/>
              </w:rPr>
              <w:t>Jornal Brasileiro de</w:t>
            </w:r>
            <w:proofErr w:type="gramStart"/>
            <w:r w:rsidRPr="004869B3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4869B3">
              <w:rPr>
                <w:rFonts w:ascii="Arial" w:hAnsi="Arial" w:cs="Arial"/>
                <w:b/>
              </w:rPr>
              <w:t>Pneumologia</w:t>
            </w:r>
            <w:r w:rsidRPr="004869B3">
              <w:rPr>
                <w:rFonts w:ascii="Arial" w:hAnsi="Arial" w:cs="Arial"/>
              </w:rPr>
              <w:t xml:space="preserve">. </w:t>
            </w:r>
            <w:proofErr w:type="gramStart"/>
            <w:r w:rsidRPr="004869B3">
              <w:rPr>
                <w:rFonts w:ascii="Arial" w:hAnsi="Arial" w:cs="Arial"/>
              </w:rPr>
              <w:t>2006;</w:t>
            </w:r>
            <w:proofErr w:type="gramEnd"/>
            <w:r w:rsidRPr="004869B3">
              <w:rPr>
                <w:rFonts w:ascii="Arial" w:hAnsi="Arial" w:cs="Arial"/>
              </w:rPr>
              <w:t>32(</w:t>
            </w:r>
            <w:proofErr w:type="spellStart"/>
            <w:r w:rsidRPr="004869B3">
              <w:rPr>
                <w:rFonts w:ascii="Arial" w:hAnsi="Arial" w:cs="Arial"/>
              </w:rPr>
              <w:t>Supl</w:t>
            </w:r>
            <w:proofErr w:type="spellEnd"/>
            <w:r w:rsidRPr="004869B3">
              <w:rPr>
                <w:rFonts w:ascii="Arial" w:hAnsi="Arial" w:cs="Arial"/>
              </w:rPr>
              <w:t xml:space="preserve"> 4):S212-S216</w:t>
            </w:r>
          </w:p>
          <w:p w:rsidR="007B0705" w:rsidRPr="004869B3" w:rsidRDefault="0032327A" w:rsidP="004869B3">
            <w:pPr>
              <w:pStyle w:val="listitem"/>
              <w:spacing w:before="120"/>
              <w:jc w:val="both"/>
              <w:rPr>
                <w:rFonts w:ascii="Arial" w:hAnsi="Arial" w:cs="Arial"/>
              </w:rPr>
            </w:pPr>
            <w:hyperlink r:id="rId6" w:history="1">
              <w:r w:rsidR="005935CA" w:rsidRPr="004869B3">
                <w:rPr>
                  <w:rStyle w:val="Hyperlink"/>
                  <w:rFonts w:ascii="Arial" w:hAnsi="Arial" w:cs="Arial"/>
                </w:rPr>
                <w:t>https://</w:t>
              </w:r>
            </w:hyperlink>
            <w:hyperlink r:id="rId7" w:history="1">
              <w:proofErr w:type="gramStart"/>
              <w:r w:rsidR="005935CA" w:rsidRPr="004869B3">
                <w:rPr>
                  <w:rStyle w:val="Hyperlink"/>
                  <w:rFonts w:ascii="Arial" w:hAnsi="Arial" w:cs="Arial"/>
                </w:rPr>
                <w:t>cdn.</w:t>
              </w:r>
              <w:proofErr w:type="gramEnd"/>
              <w:r w:rsidR="005935CA" w:rsidRPr="004869B3">
                <w:rPr>
                  <w:rStyle w:val="Hyperlink"/>
                  <w:rFonts w:ascii="Arial" w:hAnsi="Arial" w:cs="Arial"/>
                </w:rPr>
                <w:t>publisher.gn1.link/jornaldepneumologia.com.br/pdf/Suple_76_21_8cap%208.pdf</w:t>
              </w:r>
            </w:hyperlink>
          </w:p>
          <w:p w:rsidR="004869B3" w:rsidRPr="004869B3" w:rsidRDefault="004869B3" w:rsidP="000A42D1">
            <w:pPr>
              <w:pStyle w:val="listitem"/>
              <w:spacing w:before="120"/>
              <w:jc w:val="both"/>
              <w:rPr>
                <w:rFonts w:ascii="Arial" w:hAnsi="Arial" w:cs="Arial"/>
              </w:rPr>
            </w:pPr>
            <w:r w:rsidRPr="004869B3">
              <w:rPr>
                <w:rFonts w:ascii="Arial" w:hAnsi="Arial" w:cs="Arial"/>
              </w:rPr>
              <w:t xml:space="preserve">GOLDMAN, Lee; AUSIELLO, Dennis. Cecil Medicina Interna. 25. </w:t>
            </w:r>
            <w:proofErr w:type="gramStart"/>
            <w:r w:rsidRPr="004869B3">
              <w:rPr>
                <w:rFonts w:ascii="Arial" w:hAnsi="Arial" w:cs="Arial"/>
              </w:rPr>
              <w:t>ed.</w:t>
            </w:r>
            <w:proofErr w:type="gramEnd"/>
            <w:r w:rsidRPr="004869B3">
              <w:rPr>
                <w:rFonts w:ascii="Arial" w:hAnsi="Arial" w:cs="Arial"/>
              </w:rPr>
              <w:t xml:space="preserve"> </w:t>
            </w:r>
            <w:proofErr w:type="spellStart"/>
            <w:r w:rsidRPr="004869B3">
              <w:rPr>
                <w:rFonts w:ascii="Arial" w:hAnsi="Arial" w:cs="Arial"/>
              </w:rPr>
              <w:t>SaundersElsevier</w:t>
            </w:r>
            <w:proofErr w:type="spellEnd"/>
            <w:r w:rsidRPr="004869B3">
              <w:rPr>
                <w:rFonts w:ascii="Arial" w:hAnsi="Arial" w:cs="Arial"/>
              </w:rPr>
              <w:t>, 2012.</w:t>
            </w:r>
          </w:p>
        </w:tc>
      </w:tr>
    </w:tbl>
    <w:p w:rsidR="00CF6440" w:rsidRDefault="00CF6440" w:rsidP="00CF6440"/>
    <w:p w:rsidR="00CF6440" w:rsidRDefault="00CF6440">
      <w:bookmarkStart w:id="1" w:name="_GoBack"/>
      <w:bookmarkEnd w:id="1"/>
    </w:p>
    <w:sectPr w:rsidR="00CF6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90FEB"/>
    <w:multiLevelType w:val="hybridMultilevel"/>
    <w:tmpl w:val="B2B2E1E6"/>
    <w:lvl w:ilvl="0" w:tplc="B8F2B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E9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43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C2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AE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2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CF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0A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24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220328"/>
    <w:rsid w:val="0032327A"/>
    <w:rsid w:val="003B27FF"/>
    <w:rsid w:val="004869B3"/>
    <w:rsid w:val="004C535A"/>
    <w:rsid w:val="005935CA"/>
    <w:rsid w:val="00662268"/>
    <w:rsid w:val="006A39B9"/>
    <w:rsid w:val="006C27B0"/>
    <w:rsid w:val="007B0705"/>
    <w:rsid w:val="00842EE5"/>
    <w:rsid w:val="00912967"/>
    <w:rsid w:val="00B37CF4"/>
    <w:rsid w:val="00CF6440"/>
    <w:rsid w:val="00F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t-search-term">
    <w:name w:val="vst-search-term"/>
    <w:basedOn w:val="Fontepargpadro"/>
    <w:rsid w:val="00912967"/>
  </w:style>
  <w:style w:type="character" w:styleId="Hyperlink">
    <w:name w:val="Hyperlink"/>
    <w:basedOn w:val="Fontepargpadro"/>
    <w:uiPriority w:val="99"/>
    <w:unhideWhenUsed/>
    <w:rsid w:val="009129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num">
    <w:name w:val="tnum"/>
    <w:basedOn w:val="Normal"/>
    <w:rsid w:val="00B3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st-search-term">
    <w:name w:val="vst-search-term"/>
    <w:basedOn w:val="Fontepargpadro"/>
    <w:rsid w:val="00912967"/>
  </w:style>
  <w:style w:type="character" w:styleId="Hyperlink">
    <w:name w:val="Hyperlink"/>
    <w:basedOn w:val="Fontepargpadro"/>
    <w:uiPriority w:val="99"/>
    <w:unhideWhenUsed/>
    <w:rsid w:val="009129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num">
    <w:name w:val="tnum"/>
    <w:basedOn w:val="Normal"/>
    <w:rsid w:val="00B3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dn.publisher.gn1.link/jornaldepneumologia.com.br/pdf/Suple_76_21_8cap%2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n.publisher.gn1.link/jornaldepneumologia.com.br/pdf/Suple_76_21_8cap%2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1353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AULA 1: Derrame Pleural e Pneumotórax </vt:lpstr>
      <vt:lpstr>    Introdução</vt:lpstr>
      <vt:lpstr>    Objetivos</vt:lpstr>
      <vt:lpstr/>
      <vt:lpstr>Objetivo 1 – </vt:lpstr>
      <vt:lpstr>Objetivo 2 – </vt:lpstr>
      <vt:lpstr/>
      <vt:lpstr>Referências</vt:lpstr>
      <vt:lpstr>    </vt:lpstr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12</cp:revision>
  <dcterms:created xsi:type="dcterms:W3CDTF">2021-01-26T20:36:00Z</dcterms:created>
  <dcterms:modified xsi:type="dcterms:W3CDTF">2021-01-26T23:03:00Z</dcterms:modified>
</cp:coreProperties>
</file>