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40" w:rsidRPr="00814034" w:rsidRDefault="00C57208" w:rsidP="0037273C">
      <w:pPr>
        <w:jc w:val="both"/>
        <w:rPr>
          <w:rFonts w:ascii="Arial" w:hAnsi="Arial" w:cs="Arial"/>
          <w:sz w:val="24"/>
          <w:szCs w:val="24"/>
        </w:rPr>
      </w:pPr>
      <w:r w:rsidRPr="00814034">
        <w:rPr>
          <w:rFonts w:ascii="Arial" w:hAnsi="Arial" w:cs="Arial"/>
          <w:sz w:val="24"/>
          <w:szCs w:val="24"/>
        </w:rPr>
        <w:t xml:space="preserve">AULA </w:t>
      </w:r>
      <w:proofErr w:type="gramStart"/>
      <w:r w:rsidRPr="00814034">
        <w:rPr>
          <w:rFonts w:ascii="Arial" w:hAnsi="Arial" w:cs="Arial"/>
          <w:sz w:val="24"/>
          <w:szCs w:val="24"/>
        </w:rPr>
        <w:t>3</w:t>
      </w:r>
      <w:proofErr w:type="gramEnd"/>
      <w:r w:rsidR="00CF6440" w:rsidRPr="00814034">
        <w:rPr>
          <w:rFonts w:ascii="Arial" w:hAnsi="Arial" w:cs="Arial"/>
          <w:sz w:val="24"/>
          <w:szCs w:val="24"/>
        </w:rPr>
        <w:t>:</w:t>
      </w:r>
      <w:r w:rsidR="00C01C50" w:rsidRPr="008140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ED6" w:rsidRPr="00814034">
        <w:rPr>
          <w:rFonts w:ascii="Arial" w:hAnsi="Arial" w:cs="Arial"/>
          <w:sz w:val="24"/>
          <w:szCs w:val="24"/>
        </w:rPr>
        <w:t>Osteomielite</w:t>
      </w:r>
      <w:proofErr w:type="spellEnd"/>
      <w:r w:rsidR="004E1ED6" w:rsidRPr="00814034">
        <w:rPr>
          <w:rFonts w:ascii="Arial" w:hAnsi="Arial" w:cs="Arial"/>
          <w:sz w:val="24"/>
          <w:szCs w:val="24"/>
        </w:rPr>
        <w:t xml:space="preserve"> </w:t>
      </w:r>
    </w:p>
    <w:p w:rsidR="00CF6440" w:rsidRPr="00814034" w:rsidRDefault="00CF6440" w:rsidP="0037273C">
      <w:pPr>
        <w:jc w:val="both"/>
        <w:rPr>
          <w:rFonts w:ascii="Arial" w:hAnsi="Arial" w:cs="Arial"/>
          <w:sz w:val="24"/>
          <w:szCs w:val="24"/>
        </w:rPr>
      </w:pPr>
    </w:p>
    <w:p w:rsidR="00CF6440" w:rsidRPr="00814034" w:rsidRDefault="00CF6440" w:rsidP="0037273C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814034">
        <w:rPr>
          <w:rFonts w:ascii="Arial" w:hAnsi="Arial" w:cs="Arial"/>
          <w:b/>
          <w:color w:val="FF0000"/>
          <w:sz w:val="24"/>
          <w:szCs w:val="24"/>
        </w:rPr>
        <w:t>Introdução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814034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1BC" w:rsidRPr="00814034" w:rsidRDefault="00B971BC" w:rsidP="0037273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14034">
              <w:rPr>
                <w:rFonts w:ascii="Arial" w:hAnsi="Arial" w:cs="Arial"/>
                <w:color w:val="000000"/>
                <w:sz w:val="24"/>
                <w:szCs w:val="24"/>
              </w:rPr>
              <w:t xml:space="preserve">As </w:t>
            </w:r>
            <w:proofErr w:type="spellStart"/>
            <w:r w:rsidRPr="00814034">
              <w:rPr>
                <w:rFonts w:ascii="Arial" w:hAnsi="Arial" w:cs="Arial"/>
                <w:color w:val="000000"/>
                <w:sz w:val="24"/>
                <w:szCs w:val="24"/>
              </w:rPr>
              <w:t>osteomielites</w:t>
            </w:r>
            <w:proofErr w:type="spellEnd"/>
            <w:r w:rsidRPr="00814034">
              <w:rPr>
                <w:rFonts w:ascii="Arial" w:hAnsi="Arial" w:cs="Arial"/>
                <w:color w:val="000000"/>
                <w:sz w:val="24"/>
                <w:szCs w:val="24"/>
              </w:rPr>
              <w:t xml:space="preserve"> têm sido classificadas de várias formas levando-se em consideração alguns critérios, como a localização do processo, extensão do acometimento ósseo, estado imunológico do hospedeiro, </w:t>
            </w:r>
            <w:proofErr w:type="spellStart"/>
            <w:r w:rsidRPr="00814034">
              <w:rPr>
                <w:rFonts w:ascii="Arial" w:hAnsi="Arial" w:cs="Arial"/>
                <w:color w:val="000000"/>
                <w:sz w:val="24"/>
                <w:szCs w:val="24"/>
              </w:rPr>
              <w:t>comorbidades</w:t>
            </w:r>
            <w:proofErr w:type="spellEnd"/>
            <w:r w:rsidRPr="00814034">
              <w:rPr>
                <w:rFonts w:ascii="Arial" w:hAnsi="Arial" w:cs="Arial"/>
                <w:color w:val="000000"/>
                <w:sz w:val="24"/>
                <w:szCs w:val="24"/>
              </w:rPr>
              <w:t xml:space="preserve"> e tipo de agente etiológico causador.</w:t>
            </w:r>
            <w:r w:rsidRPr="0081403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14034">
              <w:rPr>
                <w:rFonts w:ascii="Arial" w:hAnsi="Arial" w:cs="Arial"/>
                <w:color w:val="000000"/>
                <w:sz w:val="24"/>
                <w:szCs w:val="24"/>
              </w:rPr>
              <w:t>Do ponto de vista microbiológico, </w:t>
            </w:r>
            <w:proofErr w:type="spellStart"/>
            <w:r w:rsidRPr="00814034">
              <w:rPr>
                <w:rStyle w:val="italico"/>
                <w:rFonts w:ascii="Arial" w:hAnsi="Arial" w:cs="Arial"/>
                <w:i/>
                <w:iCs/>
                <w:color w:val="000000"/>
                <w:sz w:val="24"/>
                <w:szCs w:val="24"/>
              </w:rPr>
              <w:t>Staphylococcus</w:t>
            </w:r>
            <w:proofErr w:type="spellEnd"/>
            <w:r w:rsidRPr="00814034">
              <w:rPr>
                <w:rStyle w:val="italico"/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aureus</w:t>
            </w:r>
            <w:r w:rsidRPr="00814034">
              <w:rPr>
                <w:rFonts w:ascii="Arial" w:hAnsi="Arial" w:cs="Arial"/>
                <w:color w:val="000000"/>
                <w:sz w:val="24"/>
                <w:szCs w:val="24"/>
              </w:rPr>
              <w:t>, </w:t>
            </w:r>
            <w:proofErr w:type="spellStart"/>
            <w:r w:rsidRPr="00814034">
              <w:rPr>
                <w:rStyle w:val="italico"/>
                <w:rFonts w:ascii="Arial" w:hAnsi="Arial" w:cs="Arial"/>
                <w:i/>
                <w:iCs/>
                <w:color w:val="000000"/>
                <w:sz w:val="24"/>
                <w:szCs w:val="24"/>
              </w:rPr>
              <w:t>Staphylococcus</w:t>
            </w:r>
            <w:proofErr w:type="spellEnd"/>
            <w:r w:rsidRPr="0081403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proofErr w:type="spellStart"/>
            <w:r w:rsidRPr="00814034">
              <w:rPr>
                <w:rFonts w:ascii="Arial" w:hAnsi="Arial" w:cs="Arial"/>
                <w:color w:val="000000"/>
                <w:sz w:val="24"/>
                <w:szCs w:val="24"/>
              </w:rPr>
              <w:t>coagulase</w:t>
            </w:r>
            <w:proofErr w:type="spellEnd"/>
            <w:r w:rsidRPr="00814034">
              <w:rPr>
                <w:rFonts w:ascii="Arial" w:hAnsi="Arial" w:cs="Arial"/>
                <w:color w:val="000000"/>
                <w:sz w:val="24"/>
                <w:szCs w:val="24"/>
              </w:rPr>
              <w:t xml:space="preserve">-negativo e bacilos Gram-negativos aeróbios são, nesta ordem, os agentes mais frequentemente isolados, mas com percentual relativo variando de acordo com o estudo analisado. Nas </w:t>
            </w:r>
            <w:proofErr w:type="spellStart"/>
            <w:r w:rsidRPr="00814034">
              <w:rPr>
                <w:rFonts w:ascii="Arial" w:hAnsi="Arial" w:cs="Arial"/>
                <w:color w:val="000000"/>
                <w:sz w:val="24"/>
                <w:szCs w:val="24"/>
              </w:rPr>
              <w:t>osteomielites</w:t>
            </w:r>
            <w:proofErr w:type="spellEnd"/>
            <w:r w:rsidRPr="00814034">
              <w:rPr>
                <w:rFonts w:ascii="Arial" w:hAnsi="Arial" w:cs="Arial"/>
                <w:color w:val="000000"/>
                <w:sz w:val="24"/>
                <w:szCs w:val="24"/>
              </w:rPr>
              <w:t xml:space="preserve"> de disseminação </w:t>
            </w:r>
            <w:proofErr w:type="spellStart"/>
            <w:r w:rsidRPr="00814034">
              <w:rPr>
                <w:rFonts w:ascii="Arial" w:hAnsi="Arial" w:cs="Arial"/>
                <w:color w:val="000000"/>
                <w:sz w:val="24"/>
                <w:szCs w:val="24"/>
              </w:rPr>
              <w:t>hematogênica</w:t>
            </w:r>
            <w:proofErr w:type="spellEnd"/>
            <w:r w:rsidRPr="00814034">
              <w:rPr>
                <w:rFonts w:ascii="Arial" w:hAnsi="Arial" w:cs="Arial"/>
                <w:color w:val="000000"/>
                <w:sz w:val="24"/>
                <w:szCs w:val="24"/>
              </w:rPr>
              <w:t xml:space="preserve">, é comum o achado de um único agente como causador da infecção, enquanto nas infecções por contiguidade é comum o achado de infecção </w:t>
            </w:r>
            <w:proofErr w:type="spellStart"/>
            <w:r w:rsidRPr="00814034">
              <w:rPr>
                <w:rFonts w:ascii="Arial" w:hAnsi="Arial" w:cs="Arial"/>
                <w:color w:val="000000"/>
                <w:sz w:val="24"/>
                <w:szCs w:val="24"/>
              </w:rPr>
              <w:t>polimicrobiana</w:t>
            </w:r>
            <w:proofErr w:type="spellEnd"/>
            <w:r w:rsidRPr="00814034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CF6440" w:rsidRPr="00814034" w:rsidRDefault="00CF6440" w:rsidP="0037273C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CF6440" w:rsidRPr="00814034" w:rsidRDefault="00CF6440" w:rsidP="0037273C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814034">
        <w:rPr>
          <w:rFonts w:ascii="Arial" w:hAnsi="Arial" w:cs="Arial"/>
          <w:b/>
          <w:color w:val="FF0000"/>
          <w:sz w:val="24"/>
          <w:szCs w:val="24"/>
        </w:rPr>
        <w:t>Objetivos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814034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814034" w:rsidRDefault="00CF6440" w:rsidP="00372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034">
              <w:rPr>
                <w:rFonts w:ascii="Arial" w:hAnsi="Arial" w:cs="Arial"/>
                <w:sz w:val="24"/>
                <w:szCs w:val="24"/>
              </w:rPr>
              <w:tab/>
              <w:t>Neste encontro você deve compreender:</w:t>
            </w:r>
          </w:p>
          <w:p w:rsidR="00CF6440" w:rsidRPr="00814034" w:rsidRDefault="00BB0C19" w:rsidP="00372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034">
              <w:rPr>
                <w:rFonts w:ascii="Arial" w:hAnsi="Arial" w:cs="Arial"/>
                <w:sz w:val="24"/>
                <w:szCs w:val="24"/>
              </w:rPr>
              <w:t xml:space="preserve">Conceito, </w:t>
            </w:r>
            <w:r w:rsidR="00B971BC" w:rsidRPr="00814034">
              <w:rPr>
                <w:rFonts w:ascii="Arial" w:hAnsi="Arial" w:cs="Arial"/>
                <w:sz w:val="24"/>
                <w:szCs w:val="24"/>
              </w:rPr>
              <w:t xml:space="preserve">fisiopatologia, </w:t>
            </w:r>
            <w:r w:rsidRPr="00814034">
              <w:rPr>
                <w:rFonts w:ascii="Arial" w:hAnsi="Arial" w:cs="Arial"/>
                <w:sz w:val="24"/>
                <w:szCs w:val="24"/>
              </w:rPr>
              <w:t>quadro</w:t>
            </w:r>
            <w:r w:rsidR="006403F0" w:rsidRPr="00814034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374ACA" w:rsidRPr="00814034">
              <w:rPr>
                <w:rFonts w:ascii="Arial" w:hAnsi="Arial" w:cs="Arial"/>
                <w:sz w:val="24"/>
                <w:szCs w:val="24"/>
              </w:rPr>
              <w:t>líni</w:t>
            </w:r>
            <w:r w:rsidR="00B971BC" w:rsidRPr="00814034">
              <w:rPr>
                <w:rFonts w:ascii="Arial" w:hAnsi="Arial" w:cs="Arial"/>
                <w:sz w:val="24"/>
                <w:szCs w:val="24"/>
              </w:rPr>
              <w:t xml:space="preserve">co </w:t>
            </w:r>
            <w:r w:rsidR="00374ACA" w:rsidRPr="00814034">
              <w:rPr>
                <w:rFonts w:ascii="Arial" w:hAnsi="Arial" w:cs="Arial"/>
                <w:sz w:val="24"/>
                <w:szCs w:val="24"/>
              </w:rPr>
              <w:t xml:space="preserve">e diagnóstico. </w:t>
            </w:r>
          </w:p>
        </w:tc>
      </w:tr>
    </w:tbl>
    <w:p w:rsidR="00CF6440" w:rsidRPr="00814034" w:rsidRDefault="00CF6440" w:rsidP="0037273C">
      <w:pPr>
        <w:jc w:val="both"/>
        <w:rPr>
          <w:rFonts w:ascii="Arial" w:hAnsi="Arial" w:cs="Arial"/>
          <w:sz w:val="24"/>
          <w:szCs w:val="24"/>
        </w:rPr>
      </w:pPr>
    </w:p>
    <w:p w:rsidR="00CF6440" w:rsidRPr="00814034" w:rsidRDefault="00CF6440" w:rsidP="0037273C">
      <w:pPr>
        <w:jc w:val="both"/>
        <w:rPr>
          <w:rFonts w:ascii="Arial" w:hAnsi="Arial" w:cs="Arial"/>
          <w:sz w:val="24"/>
          <w:szCs w:val="24"/>
        </w:rPr>
      </w:pPr>
      <w:r w:rsidRPr="00814034">
        <w:rPr>
          <w:rFonts w:ascii="Arial" w:hAnsi="Arial" w:cs="Arial"/>
          <w:b/>
          <w:color w:val="FF0000"/>
          <w:sz w:val="24"/>
          <w:szCs w:val="24"/>
        </w:rPr>
        <w:t xml:space="preserve">Objetivo </w:t>
      </w:r>
      <w:proofErr w:type="gramStart"/>
      <w:r w:rsidRPr="00814034">
        <w:rPr>
          <w:rFonts w:ascii="Arial" w:hAnsi="Arial" w:cs="Arial"/>
          <w:b/>
          <w:color w:val="FF0000"/>
          <w:sz w:val="24"/>
          <w:szCs w:val="24"/>
        </w:rPr>
        <w:t>1</w:t>
      </w:r>
      <w:proofErr w:type="gramEnd"/>
      <w:r w:rsidRPr="00814034">
        <w:rPr>
          <w:rFonts w:ascii="Arial" w:hAnsi="Arial" w:cs="Arial"/>
          <w:color w:val="FF0000"/>
          <w:sz w:val="24"/>
          <w:szCs w:val="24"/>
        </w:rPr>
        <w:t xml:space="preserve"> 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814034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1BC" w:rsidRPr="00814034" w:rsidRDefault="004E45CB" w:rsidP="00B971B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</w:pPr>
            <w:bookmarkStart w:id="0" w:name="_Hlk27402764"/>
            <w:r w:rsidRPr="0081403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971BC" w:rsidRPr="00814034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A </w:t>
            </w:r>
            <w:proofErr w:type="spellStart"/>
            <w:r w:rsidR="00B971BC" w:rsidRPr="00814034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osteomielite</w:t>
            </w:r>
            <w:proofErr w:type="spellEnd"/>
            <w:r w:rsidR="00B971BC" w:rsidRPr="00814034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pode se desenvolver a partir de contaminação </w:t>
            </w:r>
            <w:proofErr w:type="spellStart"/>
            <w:r w:rsidR="00B971BC" w:rsidRPr="00814034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hematogênica</w:t>
            </w:r>
            <w:proofErr w:type="spellEnd"/>
            <w:r w:rsidR="00B971BC" w:rsidRPr="00814034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oriunda de uma infecção distante,</w:t>
            </w:r>
            <w:proofErr w:type="gramStart"/>
            <w:r w:rsidR="00B971BC" w:rsidRPr="00814034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B971BC" w:rsidRPr="00814034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disseminação contígua da pele e das articulações vizinhas e penetração de microrganismos no osso no momento do trauma ou cirurgia. A menos que haja trauma ou a presença de um corpo estranho, o osso é normalmente resistente à infecção. Organismos como </w:t>
            </w:r>
            <w:r w:rsidR="00B971BC" w:rsidRPr="00814034">
              <w:rPr>
                <w:rFonts w:ascii="Arial" w:eastAsia="Times New Roman" w:hAnsi="Arial" w:cs="Arial"/>
                <w:i/>
                <w:iCs/>
                <w:color w:val="1B1B26"/>
                <w:sz w:val="24"/>
                <w:szCs w:val="24"/>
                <w:lang w:eastAsia="pt-BR"/>
              </w:rPr>
              <w:t>S. aureus</w:t>
            </w:r>
            <w:r w:rsidR="00B971BC" w:rsidRPr="00814034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 causam doença mais frequentemente porque eles colonizam a pele em até 30% a 40% dos indivíduos, causam celulite e </w:t>
            </w:r>
            <w:proofErr w:type="spellStart"/>
            <w:r w:rsidR="00B971BC" w:rsidRPr="00814034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bacteriemia</w:t>
            </w:r>
            <w:proofErr w:type="spellEnd"/>
            <w:r w:rsidR="00B971BC" w:rsidRPr="00814034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regularmente e têm a capacidade de se ligar ao osso através da expressão de receptores para </w:t>
            </w:r>
            <w:proofErr w:type="spellStart"/>
            <w:r w:rsidR="00B971BC" w:rsidRPr="00814034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fibronectina</w:t>
            </w:r>
            <w:proofErr w:type="spellEnd"/>
            <w:r w:rsidR="00B971BC" w:rsidRPr="00814034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e colágeno.</w:t>
            </w:r>
          </w:p>
          <w:p w:rsidR="00B971BC" w:rsidRPr="00B971BC" w:rsidRDefault="00B971BC" w:rsidP="00B971B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</w:pPr>
            <w:r w:rsidRPr="00814034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    </w:t>
            </w:r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Causas de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osteomielite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hematogênica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geralmente estão presentes nos idosos; ela quase sempre envolve duas ou mais vértebras e os respectivos discos. As bactérias têm acesso a essas estruturas através dos sistemas arterial e venoso (plexo venoso de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Batson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).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Bacteriemia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a partir de qualquer origem pode causar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osteomielite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da coluna vertebral, mas celulite, infecção do trato urinário e pneumonia são as fontes mais comuns</w:t>
            </w:r>
            <w:proofErr w:type="gram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..</w:t>
            </w:r>
            <w:proofErr w:type="gramEnd"/>
          </w:p>
          <w:p w:rsidR="00B971BC" w:rsidRPr="00B971BC" w:rsidRDefault="00B971BC" w:rsidP="00B971BC">
            <w:pPr>
              <w:shd w:val="clear" w:color="auto" w:fill="FFFFFF"/>
              <w:spacing w:after="0" w:line="240" w:lineRule="auto"/>
              <w:ind w:firstLine="240"/>
              <w:jc w:val="both"/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</w:pPr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A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osteomielite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aguda tem uma duração inferior a 10 dias, enquanto a infecção crônica tem uma duração de mais de 10 dias. O </w:t>
            </w:r>
            <w:r w:rsidRPr="00814034">
              <w:rPr>
                <w:rFonts w:ascii="Arial" w:eastAsia="Times New Roman" w:hAnsi="Arial" w:cs="Arial"/>
                <w:i/>
                <w:iCs/>
                <w:color w:val="1B1B26"/>
                <w:sz w:val="24"/>
                <w:szCs w:val="24"/>
                <w:lang w:eastAsia="pt-BR"/>
              </w:rPr>
              <w:t>S. aureus</w:t>
            </w:r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 é o agente mais comum de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osteomielite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hematogênica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ou contígua em adultos.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Osteomielite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decorrente de estreptococos β-hemolíticos e bacilos aeróbios Gram-negativos é muito menos comum, mas pode ocorrer se as infecções decorrentes desses organismos resultarem em </w:t>
            </w:r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lastRenderedPageBreak/>
              <w:t xml:space="preserve">disseminação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hematogênica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, ou se a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osteomielite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for contígua à infecção de sítio cirúrgico ou, ainda, se a contaminação acontecer no momento de fratura exposta. Infecção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polimicrobiana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, incluindo a infecção por anaeróbios, é muito comum na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osteomielite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dos ossos dos pés associada </w:t>
            </w:r>
            <w:proofErr w:type="gram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a</w:t>
            </w:r>
            <w:proofErr w:type="gram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diabetes e insuficiência vascular. Estafilococos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coagulase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-negativos podem ser patogênicos em pacientes com implantes ortopédicos.</w:t>
            </w:r>
          </w:p>
          <w:p w:rsidR="00B971BC" w:rsidRPr="00814034" w:rsidRDefault="00B971BC" w:rsidP="004E45C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971BC" w:rsidRPr="00814034" w:rsidRDefault="00B971BC" w:rsidP="004E45C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14034">
              <w:rPr>
                <w:rFonts w:ascii="Arial" w:hAnsi="Arial" w:cs="Arial"/>
                <w:color w:val="000000"/>
                <w:sz w:val="24"/>
                <w:szCs w:val="24"/>
              </w:rPr>
              <w:t xml:space="preserve">Manifestação clínica: </w:t>
            </w:r>
          </w:p>
          <w:p w:rsidR="004E45CB" w:rsidRPr="00814034" w:rsidRDefault="00B971BC" w:rsidP="004E45CB">
            <w:pPr>
              <w:jc w:val="both"/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</w:pPr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Dor localizada nos ossos afetados é uma característica de </w:t>
            </w:r>
            <w:proofErr w:type="spellStart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osteomielite</w:t>
            </w:r>
            <w:proofErr w:type="spellEnd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. Edema e eritema devidos à infecção de tecidos moles ou abscesso podem estar presentes na </w:t>
            </w:r>
            <w:proofErr w:type="spellStart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osteomielite</w:t>
            </w:r>
            <w:proofErr w:type="spellEnd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decorrente de infecção contígua. Sintomas constitucionais, incluindo febre, estão presentes em uma minoria de casos e, mais frequentemente, na </w:t>
            </w:r>
            <w:proofErr w:type="spellStart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osteomielite</w:t>
            </w:r>
            <w:proofErr w:type="spellEnd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hematogênica</w:t>
            </w:r>
            <w:proofErr w:type="spellEnd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. Se estruturas neurológicas estiverem envolvidas, sinais e sintomas neurológicos podem ocorrer. Sinais e sintomas devidos a uma infecção coexistente que causou </w:t>
            </w:r>
            <w:proofErr w:type="spellStart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osteomielite</w:t>
            </w:r>
            <w:proofErr w:type="spellEnd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hematogênica</w:t>
            </w:r>
            <w:proofErr w:type="spellEnd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podem também estar presentes. O diagnóstico diferencial da </w:t>
            </w:r>
            <w:proofErr w:type="spellStart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osteomielite</w:t>
            </w:r>
            <w:proofErr w:type="spellEnd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inclui doenças que podem causar dor óssea aguda e crônica em adultos, incluindo </w:t>
            </w:r>
            <w:proofErr w:type="spellStart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osteoartrite</w:t>
            </w:r>
            <w:proofErr w:type="spellEnd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, câncer metastático, fraturas e a síndrome SAPHO (</w:t>
            </w:r>
            <w:proofErr w:type="spellStart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sinovite</w:t>
            </w:r>
            <w:proofErr w:type="spellEnd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, acne, </w:t>
            </w:r>
            <w:proofErr w:type="spellStart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pustulose</w:t>
            </w:r>
            <w:proofErr w:type="spellEnd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hiperostose</w:t>
            </w:r>
            <w:proofErr w:type="spellEnd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e osteíte), bem como dor pós-operatória e infecção de tecidos moles sem </w:t>
            </w:r>
            <w:proofErr w:type="spellStart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osteomielite</w:t>
            </w:r>
            <w:proofErr w:type="spellEnd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</w:t>
            </w:r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concomitant</w:t>
            </w:r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e.</w:t>
            </w:r>
          </w:p>
          <w:p w:rsidR="00B971BC" w:rsidRDefault="00B971BC" w:rsidP="00B971B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</w:pPr>
            <w:r w:rsidRPr="00814034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Diagnóstico: </w:t>
            </w:r>
          </w:p>
          <w:p w:rsidR="00814034" w:rsidRPr="00814034" w:rsidRDefault="00814034" w:rsidP="00B971B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</w:pPr>
          </w:p>
          <w:p w:rsidR="00B971BC" w:rsidRPr="00B971BC" w:rsidRDefault="00B971BC" w:rsidP="00B971B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</w:pPr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A contagem de leucócitos está frequentemente elevada na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osteomielite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hematogênica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e aguda. Os níveis séricos de marcadores inflamatórios, como a velocidade de hemossedimentação e a proteína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C-reativa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, com frequência estão </w:t>
            </w:r>
            <w:proofErr w:type="gram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elevados</w:t>
            </w:r>
            <w:proofErr w:type="gram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, particularmente nos casos de infecção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hematogênica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, mas podem estar normais na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osteomielite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contígua crônica. As hemoculturas são positivas em 25% a 50% dos casos de infecção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hematogênica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, mas são quase sempre negativos na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osteomielite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crônica, a menos que esteja presente infecção de tecido mole concomitante. Nas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osteomielites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crônicas contíguas, as radiografias simples em geral demonstram alterações específicas; na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osteomielite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vertebral, elas frequentemente não são úteis na confirmação do diagnóstico de infecção.</w:t>
            </w:r>
          </w:p>
          <w:p w:rsidR="00B971BC" w:rsidRPr="00B971BC" w:rsidRDefault="00B971BC" w:rsidP="00B971BC">
            <w:pPr>
              <w:shd w:val="clear" w:color="auto" w:fill="FFFFFF"/>
              <w:spacing w:after="0" w:line="240" w:lineRule="auto"/>
              <w:ind w:firstLine="240"/>
              <w:jc w:val="both"/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</w:pPr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A RM é a técnica de diagnóstico por imagem mais sensível para identificar a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osteomielite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, exceto quando implantes ortopédicos estão presentes. Cintilografias com gálio são mais sensíveis e específicas do que as cintilografias</w:t>
            </w:r>
            <w:r w:rsidR="00814034" w:rsidRPr="00814034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ósseas com tecnécio. </w:t>
            </w:r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Cintilografias com gálio são usadas quando existem materiais metálicos na coluna vertebral que dificultam a visualização das imagens pela ressonância magnética e em casos de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osteomielite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do crânio devido à otite externa maligna.</w:t>
            </w:r>
          </w:p>
          <w:p w:rsidR="00B971BC" w:rsidRPr="00B971BC" w:rsidRDefault="00B971BC" w:rsidP="00B971BC">
            <w:pPr>
              <w:shd w:val="clear" w:color="auto" w:fill="FFFFFF"/>
              <w:spacing w:after="0" w:line="240" w:lineRule="auto"/>
              <w:ind w:firstLine="240"/>
              <w:jc w:val="both"/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</w:pPr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Amostras do osso envolvido, tecidos moles contíguos e </w:t>
            </w:r>
            <w:proofErr w:type="gram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material purulento obtidos</w:t>
            </w:r>
            <w:proofErr w:type="gram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no momento da biópsia óssea ou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desbridamento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cirúrgico devem ser enviadas para a coloração pelo método de Gram, culturas aeróbias e anaeróbias e exame patológico. Se o histórico, o exame ou a imagem for </w:t>
            </w:r>
            <w:proofErr w:type="gram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sugestiva de infecção atípica</w:t>
            </w:r>
            <w:proofErr w:type="gram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, deve-se realizar cultura para fungos e </w:t>
            </w:r>
            <w:proofErr w:type="spellStart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micobactérias</w:t>
            </w:r>
            <w:proofErr w:type="spellEnd"/>
            <w:r w:rsidRPr="00B971BC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ou outros organismos incomuns.</w:t>
            </w:r>
          </w:p>
          <w:p w:rsidR="00814034" w:rsidRDefault="00814034" w:rsidP="004E45CB">
            <w:pPr>
              <w:jc w:val="both"/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</w:pPr>
          </w:p>
          <w:p w:rsidR="00B971BC" w:rsidRPr="00814034" w:rsidRDefault="00814034" w:rsidP="004E45CB">
            <w:pPr>
              <w:jc w:val="both"/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</w:pPr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Tratamento </w:t>
            </w:r>
          </w:p>
          <w:p w:rsidR="00814034" w:rsidRPr="00814034" w:rsidRDefault="00814034" w:rsidP="004E45CB">
            <w:pPr>
              <w:jc w:val="both"/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</w:pPr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Drenagem </w:t>
            </w:r>
            <w:proofErr w:type="spellStart"/>
            <w:r w:rsidRPr="00814034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cirúrgia</w:t>
            </w:r>
            <w:proofErr w:type="spellEnd"/>
            <w:r w:rsidRPr="00814034">
              <w:rPr>
                <w:rFonts w:ascii="Arial" w:hAnsi="Arial" w:cs="Arial"/>
                <w:sz w:val="24"/>
                <w:szCs w:val="24"/>
              </w:rPr>
              <w:t xml:space="preserve"> e antimicrobianos para patógenos específicos com base no teste de suscetibilidade in vitro são recomendados. </w:t>
            </w:r>
          </w:p>
        </w:tc>
      </w:tr>
    </w:tbl>
    <w:bookmarkEnd w:id="0"/>
    <w:p w:rsidR="0037273C" w:rsidRDefault="00CF6440" w:rsidP="00814034">
      <w:pPr>
        <w:tabs>
          <w:tab w:val="left" w:pos="7371"/>
        </w:tabs>
        <w:jc w:val="both"/>
        <w:rPr>
          <w:rFonts w:ascii="Arial" w:hAnsi="Arial" w:cs="Arial"/>
          <w:sz w:val="24"/>
          <w:szCs w:val="24"/>
        </w:rPr>
      </w:pPr>
      <w:r w:rsidRPr="0037273C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37273C" w:rsidRDefault="0037273C" w:rsidP="0037273C">
      <w:pPr>
        <w:jc w:val="both"/>
        <w:rPr>
          <w:rFonts w:ascii="Arial" w:hAnsi="Arial" w:cs="Arial"/>
          <w:sz w:val="24"/>
          <w:szCs w:val="24"/>
        </w:rPr>
      </w:pPr>
    </w:p>
    <w:p w:rsidR="00CF6440" w:rsidRPr="0037273C" w:rsidRDefault="00CF6440" w:rsidP="0037273C">
      <w:pPr>
        <w:jc w:val="both"/>
        <w:rPr>
          <w:rFonts w:ascii="Arial" w:hAnsi="Arial" w:cs="Arial"/>
          <w:sz w:val="24"/>
          <w:szCs w:val="24"/>
        </w:rPr>
      </w:pPr>
      <w:r w:rsidRPr="0037273C">
        <w:rPr>
          <w:rFonts w:ascii="Arial" w:hAnsi="Arial" w:cs="Arial"/>
          <w:sz w:val="24"/>
          <w:szCs w:val="24"/>
        </w:rPr>
        <w:t>Referências</w:t>
      </w:r>
    </w:p>
    <w:p w:rsidR="00CF6440" w:rsidRPr="0037273C" w:rsidRDefault="00CF6440" w:rsidP="0037273C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37273C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273C" w:rsidRDefault="00814034" w:rsidP="0037273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3C">
              <w:rPr>
                <w:rFonts w:ascii="Arial" w:hAnsi="Arial" w:cs="Arial"/>
                <w:sz w:val="24"/>
                <w:szCs w:val="24"/>
              </w:rPr>
              <w:t>Ortopedia e traumatologia – Geraldo da Rocha Motta filho e</w:t>
            </w:r>
            <w:proofErr w:type="gramStart"/>
            <w:r w:rsidRPr="0037273C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37273C">
              <w:rPr>
                <w:rFonts w:ascii="Arial" w:hAnsi="Arial" w:cs="Arial"/>
                <w:sz w:val="24"/>
                <w:szCs w:val="24"/>
              </w:rPr>
              <w:t>Tarcísio Eloy</w:t>
            </w:r>
          </w:p>
          <w:p w:rsidR="00000000" w:rsidRDefault="00814034" w:rsidP="0037273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3C">
              <w:rPr>
                <w:rFonts w:ascii="Arial" w:hAnsi="Arial" w:cs="Arial"/>
                <w:sz w:val="24"/>
                <w:szCs w:val="24"/>
              </w:rPr>
              <w:t xml:space="preserve">Trauma Ortopédico - Gerenciando Fraturas de </w:t>
            </w:r>
            <w:proofErr w:type="spellStart"/>
            <w:r w:rsidRPr="0037273C">
              <w:rPr>
                <w:rFonts w:ascii="Arial" w:hAnsi="Arial" w:cs="Arial"/>
                <w:sz w:val="24"/>
                <w:szCs w:val="24"/>
              </w:rPr>
              <w:t>Emergêcia</w:t>
            </w:r>
            <w:proofErr w:type="spellEnd"/>
            <w:r w:rsidRPr="0037273C">
              <w:rPr>
                <w:rFonts w:ascii="Arial" w:hAnsi="Arial" w:cs="Arial"/>
                <w:sz w:val="24"/>
                <w:szCs w:val="24"/>
              </w:rPr>
              <w:t xml:space="preserve"> - Timothy O White</w:t>
            </w:r>
          </w:p>
          <w:p w:rsidR="00814034" w:rsidRPr="0037273C" w:rsidRDefault="00814034" w:rsidP="0037273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034">
              <w:rPr>
                <w:rFonts w:ascii="Arial" w:hAnsi="Arial" w:cs="Arial"/>
                <w:sz w:val="24"/>
                <w:szCs w:val="24"/>
              </w:rPr>
              <w:t xml:space="preserve">GOLDMAN, Lee; AUSIELLO, Dennis. Cecil Medicina Interna. 25. </w:t>
            </w:r>
            <w:proofErr w:type="gramStart"/>
            <w:r w:rsidRPr="00814034">
              <w:rPr>
                <w:rFonts w:ascii="Arial" w:hAnsi="Arial" w:cs="Arial"/>
                <w:sz w:val="24"/>
                <w:szCs w:val="24"/>
              </w:rPr>
              <w:t>ed.</w:t>
            </w:r>
            <w:proofErr w:type="gramEnd"/>
            <w:r w:rsidRPr="008140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4034">
              <w:rPr>
                <w:rFonts w:ascii="Arial" w:hAnsi="Arial" w:cs="Arial"/>
                <w:sz w:val="24"/>
                <w:szCs w:val="24"/>
              </w:rPr>
              <w:t>SaundersElsevier</w:t>
            </w:r>
            <w:proofErr w:type="spellEnd"/>
            <w:r w:rsidRPr="00814034">
              <w:rPr>
                <w:rFonts w:ascii="Arial" w:hAnsi="Arial" w:cs="Arial"/>
                <w:sz w:val="24"/>
                <w:szCs w:val="24"/>
              </w:rPr>
              <w:t>, 2012</w:t>
            </w:r>
            <w:bookmarkStart w:id="1" w:name="_GoBack"/>
            <w:bookmarkEnd w:id="1"/>
          </w:p>
          <w:p w:rsidR="007F11CD" w:rsidRPr="0037273C" w:rsidRDefault="007F11CD" w:rsidP="00372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F6440" w:rsidRPr="0037273C" w:rsidRDefault="00CF6440" w:rsidP="0037273C">
      <w:pPr>
        <w:jc w:val="both"/>
        <w:rPr>
          <w:rFonts w:ascii="Arial" w:hAnsi="Arial" w:cs="Arial"/>
          <w:sz w:val="24"/>
          <w:szCs w:val="24"/>
        </w:rPr>
      </w:pPr>
    </w:p>
    <w:p w:rsidR="00CF6440" w:rsidRPr="0037273C" w:rsidRDefault="00CF6440" w:rsidP="0037273C">
      <w:pPr>
        <w:jc w:val="both"/>
        <w:rPr>
          <w:rFonts w:ascii="Arial" w:hAnsi="Arial" w:cs="Arial"/>
          <w:sz w:val="24"/>
          <w:szCs w:val="24"/>
        </w:rPr>
      </w:pPr>
    </w:p>
    <w:sectPr w:rsidR="00CF6440" w:rsidRPr="003727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utura Bk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49FA"/>
    <w:multiLevelType w:val="hybridMultilevel"/>
    <w:tmpl w:val="8CEA92FC"/>
    <w:lvl w:ilvl="0" w:tplc="6EC26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63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C3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E8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6C8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44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C4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05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47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5040B25"/>
    <w:multiLevelType w:val="hybridMultilevel"/>
    <w:tmpl w:val="A73E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C6686"/>
    <w:multiLevelType w:val="hybridMultilevel"/>
    <w:tmpl w:val="D7963FE0"/>
    <w:lvl w:ilvl="0" w:tplc="0568A4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83C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827150">
      <w:start w:val="116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10E2A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01EA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0540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082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58AC6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72DF5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F367E91"/>
    <w:multiLevelType w:val="hybridMultilevel"/>
    <w:tmpl w:val="C11ABC86"/>
    <w:lvl w:ilvl="0" w:tplc="D6AAB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763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062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3C3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8A6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26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7A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925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0E2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440"/>
    <w:rsid w:val="000E547F"/>
    <w:rsid w:val="00270490"/>
    <w:rsid w:val="002B03F6"/>
    <w:rsid w:val="00317A28"/>
    <w:rsid w:val="0037273C"/>
    <w:rsid w:val="00374ACA"/>
    <w:rsid w:val="004E1ED6"/>
    <w:rsid w:val="004E45CB"/>
    <w:rsid w:val="006403F0"/>
    <w:rsid w:val="00662268"/>
    <w:rsid w:val="006676B9"/>
    <w:rsid w:val="00686A34"/>
    <w:rsid w:val="007F11CD"/>
    <w:rsid w:val="00814034"/>
    <w:rsid w:val="0088189A"/>
    <w:rsid w:val="00A57670"/>
    <w:rsid w:val="00A90139"/>
    <w:rsid w:val="00AC3819"/>
    <w:rsid w:val="00B971BC"/>
    <w:rsid w:val="00BB0C19"/>
    <w:rsid w:val="00BF1DFB"/>
    <w:rsid w:val="00C01C50"/>
    <w:rsid w:val="00C57208"/>
    <w:rsid w:val="00CF6440"/>
    <w:rsid w:val="00CF6BCD"/>
    <w:rsid w:val="00D6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40"/>
    <w:pPr>
      <w:spacing w:after="200" w:line="276" w:lineRule="auto"/>
    </w:pPr>
    <w:rPr>
      <w:rFonts w:ascii="Tw Cen MT" w:hAnsi="Tw Cen MT"/>
    </w:rPr>
  </w:style>
  <w:style w:type="paragraph" w:styleId="Ttulo1">
    <w:name w:val="heading 1"/>
    <w:basedOn w:val="Normal"/>
    <w:next w:val="Normal"/>
    <w:link w:val="Ttulo1Char"/>
    <w:uiPriority w:val="9"/>
    <w:qFormat/>
    <w:rsid w:val="00CF6440"/>
    <w:pPr>
      <w:spacing w:after="0" w:line="240" w:lineRule="auto"/>
      <w:outlineLvl w:val="0"/>
    </w:pPr>
    <w:rPr>
      <w:rFonts w:ascii="Futura Bk BT" w:eastAsia="Times New Roman" w:hAnsi="Futura Bk BT" w:cs="Times New Roman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440"/>
    <w:pPr>
      <w:spacing w:after="0" w:line="240" w:lineRule="auto"/>
      <w:outlineLvl w:val="1"/>
    </w:pPr>
    <w:rPr>
      <w:rFonts w:ascii="Futura Bk BT" w:eastAsia="Times New Roman" w:hAnsi="Futura Bk BT" w:cs="Times New Roman"/>
      <w:color w:val="FF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440"/>
    <w:rPr>
      <w:rFonts w:ascii="Futura Bk BT" w:eastAsia="Times New Roman" w:hAnsi="Futura Bk BT" w:cs="Times New Roman"/>
      <w:b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440"/>
    <w:rPr>
      <w:rFonts w:ascii="Futura Bk BT" w:eastAsia="Times New Roman" w:hAnsi="Futura Bk BT" w:cs="Times New Roman"/>
      <w:color w:val="FF0000"/>
    </w:rPr>
  </w:style>
  <w:style w:type="character" w:customStyle="1" w:styleId="ComentrioChar">
    <w:name w:val="Comentário Char"/>
    <w:basedOn w:val="Fontepargpadro"/>
    <w:link w:val="Comentrio"/>
    <w:locked/>
    <w:rsid w:val="00CF6440"/>
    <w:rPr>
      <w:rFonts w:ascii="Futura Bk BT" w:hAnsi="Futura Bk BT"/>
      <w:sz w:val="24"/>
    </w:rPr>
  </w:style>
  <w:style w:type="paragraph" w:customStyle="1" w:styleId="Comentrio">
    <w:name w:val="Comentário"/>
    <w:basedOn w:val="Normal"/>
    <w:link w:val="ComentrioChar"/>
    <w:qFormat/>
    <w:rsid w:val="00CF6440"/>
    <w:pPr>
      <w:spacing w:before="120" w:after="120" w:line="360" w:lineRule="auto"/>
      <w:jc w:val="both"/>
    </w:pPr>
    <w:rPr>
      <w:rFonts w:ascii="Futura Bk BT" w:hAnsi="Futura Bk BT"/>
      <w:sz w:val="24"/>
    </w:rPr>
  </w:style>
  <w:style w:type="table" w:styleId="Tabelacomgrade">
    <w:name w:val="Table Grid"/>
    <w:basedOn w:val="Tabelanormal"/>
    <w:uiPriority w:val="59"/>
    <w:rsid w:val="00CF644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6440"/>
    <w:pPr>
      <w:ind w:left="720"/>
      <w:contextualSpacing/>
    </w:pPr>
  </w:style>
  <w:style w:type="paragraph" w:customStyle="1" w:styleId="listitem">
    <w:name w:val="listitem"/>
    <w:basedOn w:val="Normal"/>
    <w:rsid w:val="00CF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2">
    <w:name w:val="t2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sem">
    <w:name w:val="corpo_sem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6BC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6BCD"/>
    <w:rPr>
      <w:i/>
      <w:iCs/>
    </w:rPr>
  </w:style>
  <w:style w:type="character" w:customStyle="1" w:styleId="sobrescrito">
    <w:name w:val="sobrescrito"/>
    <w:basedOn w:val="Fontepargpadro"/>
    <w:rsid w:val="00CF6BCD"/>
  </w:style>
  <w:style w:type="character" w:customStyle="1" w:styleId="italico">
    <w:name w:val="italico"/>
    <w:basedOn w:val="Fontepargpadro"/>
    <w:rsid w:val="00A57670"/>
  </w:style>
  <w:style w:type="paragraph" w:styleId="NormalWeb">
    <w:name w:val="Normal (Web)"/>
    <w:basedOn w:val="Normal"/>
    <w:uiPriority w:val="99"/>
    <w:semiHidden/>
    <w:unhideWhenUsed/>
    <w:rsid w:val="0031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-rec">
    <w:name w:val="texto-rec"/>
    <w:basedOn w:val="Normal"/>
    <w:rsid w:val="004E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4E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vst-search-term">
    <w:name w:val="vst-search-term"/>
    <w:basedOn w:val="Fontepargpadro"/>
    <w:rsid w:val="004E45CB"/>
  </w:style>
  <w:style w:type="character" w:customStyle="1" w:styleId="italic">
    <w:name w:val="italic"/>
    <w:basedOn w:val="Fontepargpadro"/>
    <w:rsid w:val="00B97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40"/>
    <w:pPr>
      <w:spacing w:after="200" w:line="276" w:lineRule="auto"/>
    </w:pPr>
    <w:rPr>
      <w:rFonts w:ascii="Tw Cen MT" w:hAnsi="Tw Cen MT"/>
    </w:rPr>
  </w:style>
  <w:style w:type="paragraph" w:styleId="Ttulo1">
    <w:name w:val="heading 1"/>
    <w:basedOn w:val="Normal"/>
    <w:next w:val="Normal"/>
    <w:link w:val="Ttulo1Char"/>
    <w:uiPriority w:val="9"/>
    <w:qFormat/>
    <w:rsid w:val="00CF6440"/>
    <w:pPr>
      <w:spacing w:after="0" w:line="240" w:lineRule="auto"/>
      <w:outlineLvl w:val="0"/>
    </w:pPr>
    <w:rPr>
      <w:rFonts w:ascii="Futura Bk BT" w:eastAsia="Times New Roman" w:hAnsi="Futura Bk BT" w:cs="Times New Roman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440"/>
    <w:pPr>
      <w:spacing w:after="0" w:line="240" w:lineRule="auto"/>
      <w:outlineLvl w:val="1"/>
    </w:pPr>
    <w:rPr>
      <w:rFonts w:ascii="Futura Bk BT" w:eastAsia="Times New Roman" w:hAnsi="Futura Bk BT" w:cs="Times New Roman"/>
      <w:color w:val="FF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440"/>
    <w:rPr>
      <w:rFonts w:ascii="Futura Bk BT" w:eastAsia="Times New Roman" w:hAnsi="Futura Bk BT" w:cs="Times New Roman"/>
      <w:b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440"/>
    <w:rPr>
      <w:rFonts w:ascii="Futura Bk BT" w:eastAsia="Times New Roman" w:hAnsi="Futura Bk BT" w:cs="Times New Roman"/>
      <w:color w:val="FF0000"/>
    </w:rPr>
  </w:style>
  <w:style w:type="character" w:customStyle="1" w:styleId="ComentrioChar">
    <w:name w:val="Comentário Char"/>
    <w:basedOn w:val="Fontepargpadro"/>
    <w:link w:val="Comentrio"/>
    <w:locked/>
    <w:rsid w:val="00CF6440"/>
    <w:rPr>
      <w:rFonts w:ascii="Futura Bk BT" w:hAnsi="Futura Bk BT"/>
      <w:sz w:val="24"/>
    </w:rPr>
  </w:style>
  <w:style w:type="paragraph" w:customStyle="1" w:styleId="Comentrio">
    <w:name w:val="Comentário"/>
    <w:basedOn w:val="Normal"/>
    <w:link w:val="ComentrioChar"/>
    <w:qFormat/>
    <w:rsid w:val="00CF6440"/>
    <w:pPr>
      <w:spacing w:before="120" w:after="120" w:line="360" w:lineRule="auto"/>
      <w:jc w:val="both"/>
    </w:pPr>
    <w:rPr>
      <w:rFonts w:ascii="Futura Bk BT" w:hAnsi="Futura Bk BT"/>
      <w:sz w:val="24"/>
    </w:rPr>
  </w:style>
  <w:style w:type="table" w:styleId="Tabelacomgrade">
    <w:name w:val="Table Grid"/>
    <w:basedOn w:val="Tabelanormal"/>
    <w:uiPriority w:val="59"/>
    <w:rsid w:val="00CF644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6440"/>
    <w:pPr>
      <w:ind w:left="720"/>
      <w:contextualSpacing/>
    </w:pPr>
  </w:style>
  <w:style w:type="paragraph" w:customStyle="1" w:styleId="listitem">
    <w:name w:val="listitem"/>
    <w:basedOn w:val="Normal"/>
    <w:rsid w:val="00CF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2">
    <w:name w:val="t2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sem">
    <w:name w:val="corpo_sem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6BC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6BCD"/>
    <w:rPr>
      <w:i/>
      <w:iCs/>
    </w:rPr>
  </w:style>
  <w:style w:type="character" w:customStyle="1" w:styleId="sobrescrito">
    <w:name w:val="sobrescrito"/>
    <w:basedOn w:val="Fontepargpadro"/>
    <w:rsid w:val="00CF6BCD"/>
  </w:style>
  <w:style w:type="character" w:customStyle="1" w:styleId="italico">
    <w:name w:val="italico"/>
    <w:basedOn w:val="Fontepargpadro"/>
    <w:rsid w:val="00A57670"/>
  </w:style>
  <w:style w:type="paragraph" w:styleId="NormalWeb">
    <w:name w:val="Normal (Web)"/>
    <w:basedOn w:val="Normal"/>
    <w:uiPriority w:val="99"/>
    <w:semiHidden/>
    <w:unhideWhenUsed/>
    <w:rsid w:val="0031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-rec">
    <w:name w:val="texto-rec"/>
    <w:basedOn w:val="Normal"/>
    <w:rsid w:val="004E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4E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vst-search-term">
    <w:name w:val="vst-search-term"/>
    <w:basedOn w:val="Fontepargpadro"/>
    <w:rsid w:val="004E45CB"/>
  </w:style>
  <w:style w:type="character" w:customStyle="1" w:styleId="italic">
    <w:name w:val="italic"/>
    <w:basedOn w:val="Fontepargpadro"/>
    <w:rsid w:val="00B97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366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457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5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0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883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 .</dc:creator>
  <cp:lastModifiedBy>Kika</cp:lastModifiedBy>
  <cp:revision>3</cp:revision>
  <dcterms:created xsi:type="dcterms:W3CDTF">2021-01-31T23:09:00Z</dcterms:created>
  <dcterms:modified xsi:type="dcterms:W3CDTF">2021-01-31T23:23:00Z</dcterms:modified>
</cp:coreProperties>
</file>