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562A5C" w:rsidRDefault="008A59FD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2A5C">
        <w:rPr>
          <w:rFonts w:ascii="Arial" w:hAnsi="Arial" w:cs="Arial"/>
          <w:b/>
          <w:color w:val="FF0000"/>
          <w:sz w:val="24"/>
          <w:szCs w:val="24"/>
        </w:rPr>
        <w:t xml:space="preserve">AULA </w:t>
      </w:r>
      <w:proofErr w:type="gramStart"/>
      <w:r w:rsidRPr="00562A5C">
        <w:rPr>
          <w:rFonts w:ascii="Arial" w:hAnsi="Arial" w:cs="Arial"/>
          <w:b/>
          <w:color w:val="FF0000"/>
          <w:sz w:val="24"/>
          <w:szCs w:val="24"/>
        </w:rPr>
        <w:t>5</w:t>
      </w:r>
      <w:proofErr w:type="gramEnd"/>
      <w:r w:rsidR="00CF6440" w:rsidRPr="00562A5C">
        <w:rPr>
          <w:rFonts w:ascii="Arial" w:hAnsi="Arial" w:cs="Arial"/>
          <w:b/>
          <w:color w:val="FF0000"/>
          <w:sz w:val="24"/>
          <w:szCs w:val="24"/>
        </w:rPr>
        <w:t>:</w:t>
      </w:r>
      <w:r w:rsidR="0088189A" w:rsidRPr="00562A5C">
        <w:rPr>
          <w:rFonts w:ascii="Arial" w:hAnsi="Arial" w:cs="Arial"/>
          <w:b/>
          <w:color w:val="FF0000"/>
          <w:sz w:val="24"/>
          <w:szCs w:val="24"/>
        </w:rPr>
        <w:t xml:space="preserve"> Patologia das Síndromes </w:t>
      </w:r>
      <w:proofErr w:type="spellStart"/>
      <w:r w:rsidR="00952087" w:rsidRPr="00562A5C">
        <w:rPr>
          <w:rFonts w:ascii="Arial" w:hAnsi="Arial" w:cs="Arial"/>
          <w:b/>
          <w:color w:val="FF0000"/>
          <w:sz w:val="24"/>
          <w:szCs w:val="24"/>
        </w:rPr>
        <w:t>Nefróticas</w:t>
      </w:r>
      <w:proofErr w:type="spellEnd"/>
    </w:p>
    <w:p w:rsidR="00CF6440" w:rsidRPr="00AC2CA6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562A5C" w:rsidRDefault="00CF6440" w:rsidP="007F11CD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62A5C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AC2CA6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AC2CA6" w:rsidRDefault="00952087" w:rsidP="00952087">
            <w:pPr>
              <w:pStyle w:val="corposem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A doença glomerular tem apresentações clínicas que variam desde um indivíduo assintomático que descobre ter hipertensão arterial, edema, hematúria ou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 xml:space="preserve"> em uma avaliação médica de rotina, até um paciente com doença fulminante com injúria renal aguda possivelmente associada </w:t>
            </w:r>
            <w:proofErr w:type="gramStart"/>
            <w:r w:rsidRPr="00AC2CA6">
              <w:rPr>
                <w:rFonts w:ascii="Arial" w:hAnsi="Arial" w:cs="Arial"/>
              </w:rPr>
              <w:t>a</w:t>
            </w:r>
            <w:proofErr w:type="gramEnd"/>
            <w:r w:rsidRPr="00AC2CA6">
              <w:rPr>
                <w:rFonts w:ascii="Arial" w:hAnsi="Arial" w:cs="Arial"/>
              </w:rPr>
              <w:t xml:space="preserve"> doenç</w:t>
            </w:r>
            <w:r w:rsidRPr="00AC2CA6">
              <w:rPr>
                <w:rFonts w:ascii="Arial" w:hAnsi="Arial" w:cs="Arial"/>
              </w:rPr>
              <w:t xml:space="preserve">a </w:t>
            </w:r>
            <w:proofErr w:type="spellStart"/>
            <w:r w:rsidRPr="00AC2CA6">
              <w:rPr>
                <w:rFonts w:ascii="Arial" w:hAnsi="Arial" w:cs="Arial"/>
              </w:rPr>
              <w:t>extrarrenal</w:t>
            </w:r>
            <w:proofErr w:type="spellEnd"/>
            <w:r w:rsidRPr="00AC2CA6">
              <w:rPr>
                <w:rFonts w:ascii="Arial" w:hAnsi="Arial" w:cs="Arial"/>
              </w:rPr>
              <w:t xml:space="preserve"> com risco de vida. </w:t>
            </w:r>
            <w:r w:rsidRPr="00AC2CA6">
              <w:rPr>
                <w:rFonts w:ascii="Arial" w:hAnsi="Arial" w:cs="Arial"/>
              </w:rPr>
              <w:t xml:space="preserve"> As apresentações sintomáticas mais dramáticas são incomuns. Anormalidades urinárias assintomáticas são muito mais comuns, mas menos específicas, e também podem indicar uma ampla gama de doenças não glomerulares do trato urinário.</w:t>
            </w:r>
          </w:p>
        </w:tc>
      </w:tr>
    </w:tbl>
    <w:p w:rsidR="00CF6440" w:rsidRPr="00AC2CA6" w:rsidRDefault="00CF6440" w:rsidP="007F11CD">
      <w:pPr>
        <w:jc w:val="both"/>
        <w:rPr>
          <w:rFonts w:ascii="Arial" w:hAnsi="Arial" w:cs="Arial"/>
          <w:b/>
          <w:sz w:val="24"/>
          <w:szCs w:val="24"/>
        </w:rPr>
      </w:pPr>
    </w:p>
    <w:p w:rsidR="00CF6440" w:rsidRPr="00AC2CA6" w:rsidRDefault="00CF6440" w:rsidP="007F11CD">
      <w:pPr>
        <w:jc w:val="both"/>
        <w:rPr>
          <w:rFonts w:ascii="Arial" w:hAnsi="Arial" w:cs="Arial"/>
          <w:b/>
          <w:sz w:val="24"/>
          <w:szCs w:val="24"/>
        </w:rPr>
      </w:pPr>
      <w:r w:rsidRPr="00562A5C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AC2CA6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AC2CA6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CA6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AC2CA6" w:rsidRDefault="0088189A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CA6">
              <w:rPr>
                <w:rFonts w:ascii="Arial" w:hAnsi="Arial" w:cs="Arial"/>
                <w:sz w:val="24"/>
                <w:szCs w:val="24"/>
              </w:rPr>
              <w:t xml:space="preserve">Fisiopatologia, Sintomatologia, Diagnóstico da </w:t>
            </w:r>
            <w:r w:rsidR="00952087" w:rsidRPr="00AC2CA6">
              <w:rPr>
                <w:rFonts w:ascii="Arial" w:hAnsi="Arial" w:cs="Arial"/>
                <w:sz w:val="24"/>
                <w:szCs w:val="24"/>
              </w:rPr>
              <w:t xml:space="preserve">Síndrome </w:t>
            </w:r>
            <w:proofErr w:type="spellStart"/>
            <w:r w:rsidR="00952087" w:rsidRPr="00AC2CA6">
              <w:rPr>
                <w:rFonts w:ascii="Arial" w:hAnsi="Arial" w:cs="Arial"/>
                <w:sz w:val="24"/>
                <w:szCs w:val="24"/>
              </w:rPr>
              <w:t>Nefrótica</w:t>
            </w:r>
            <w:proofErr w:type="spellEnd"/>
            <w:r w:rsidR="00AC2CA6" w:rsidRPr="00AC2CA6">
              <w:rPr>
                <w:rFonts w:ascii="Arial" w:hAnsi="Arial" w:cs="Arial"/>
                <w:sz w:val="24"/>
                <w:szCs w:val="24"/>
              </w:rPr>
              <w:t xml:space="preserve">, Lesões Mínimas, GESF, </w:t>
            </w:r>
            <w:proofErr w:type="spellStart"/>
            <w:r w:rsidR="00AC2CA6" w:rsidRPr="00AC2CA6">
              <w:rPr>
                <w:rFonts w:ascii="Arial" w:hAnsi="Arial" w:cs="Arial"/>
                <w:sz w:val="24"/>
                <w:szCs w:val="24"/>
              </w:rPr>
              <w:t>Nefropatia</w:t>
            </w:r>
            <w:proofErr w:type="spellEnd"/>
            <w:r w:rsidR="00AC2CA6" w:rsidRPr="00AC2CA6">
              <w:rPr>
                <w:rFonts w:ascii="Arial" w:hAnsi="Arial" w:cs="Arial"/>
                <w:sz w:val="24"/>
                <w:szCs w:val="24"/>
              </w:rPr>
              <w:t xml:space="preserve"> Membranosa, </w:t>
            </w:r>
            <w:proofErr w:type="spellStart"/>
            <w:proofErr w:type="gramStart"/>
            <w:r w:rsidR="00AC2CA6" w:rsidRPr="00AC2CA6">
              <w:rPr>
                <w:rFonts w:ascii="Arial" w:hAnsi="Arial" w:cs="Arial"/>
                <w:sz w:val="24"/>
                <w:szCs w:val="24"/>
              </w:rPr>
              <w:t>Membranoproliferativa</w:t>
            </w:r>
            <w:proofErr w:type="spellEnd"/>
            <w:proofErr w:type="gramEnd"/>
          </w:p>
        </w:tc>
      </w:tr>
    </w:tbl>
    <w:p w:rsidR="00CF6440" w:rsidRPr="00AC2CA6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562A5C" w:rsidRDefault="00CF6440" w:rsidP="007F11CD">
      <w:pPr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r w:rsidRPr="00562A5C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562A5C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562A5C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AC2CA6" w:rsidRPr="00AC2CA6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52087" w:rsidRPr="00AC2CA6" w:rsidRDefault="00952087" w:rsidP="00952087">
            <w:pPr>
              <w:pStyle w:val="corposem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bookmarkStart w:id="1" w:name="_Hlk27402764"/>
            <w:bookmarkEnd w:id="0"/>
            <w:r w:rsidRPr="00AC2CA6">
              <w:rPr>
                <w:rFonts w:ascii="Arial" w:hAnsi="Arial" w:cs="Arial"/>
              </w:rPr>
              <w:t xml:space="preserve">A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é </w:t>
            </w:r>
            <w:proofErr w:type="spellStart"/>
            <w:r w:rsidRPr="00AC2CA6">
              <w:rPr>
                <w:rFonts w:ascii="Arial" w:hAnsi="Arial" w:cs="Arial"/>
              </w:rPr>
              <w:t>patognomônica</w:t>
            </w:r>
            <w:proofErr w:type="spellEnd"/>
            <w:r w:rsidRPr="00AC2CA6">
              <w:rPr>
                <w:rFonts w:ascii="Arial" w:hAnsi="Arial" w:cs="Arial"/>
              </w:rPr>
              <w:t xml:space="preserve"> de doença glomerular. É uma síndrome clínica caracterizada por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 xml:space="preserve">, </w:t>
            </w:r>
            <w:proofErr w:type="spellStart"/>
            <w:r w:rsidRPr="00AC2CA6">
              <w:rPr>
                <w:rFonts w:ascii="Arial" w:hAnsi="Arial" w:cs="Arial"/>
              </w:rPr>
              <w:t>hipoalbuminemia</w:t>
            </w:r>
            <w:proofErr w:type="spellEnd"/>
            <w:r w:rsidRPr="00AC2CA6">
              <w:rPr>
                <w:rFonts w:ascii="Arial" w:hAnsi="Arial" w:cs="Arial"/>
              </w:rPr>
              <w:t xml:space="preserve">, edema, </w:t>
            </w:r>
            <w:proofErr w:type="spellStart"/>
            <w:r w:rsidRPr="00AC2CA6">
              <w:rPr>
                <w:rFonts w:ascii="Arial" w:hAnsi="Arial" w:cs="Arial"/>
              </w:rPr>
              <w:t>hipercolesterolemia</w:t>
            </w:r>
            <w:proofErr w:type="spellEnd"/>
            <w:r w:rsidRPr="00AC2CA6">
              <w:rPr>
                <w:rFonts w:ascii="Arial" w:hAnsi="Arial" w:cs="Arial"/>
              </w:rPr>
              <w:t xml:space="preserve"> e lipiduria</w:t>
            </w:r>
            <w:r w:rsidRPr="00AC2CA6">
              <w:rPr>
                <w:rStyle w:val="sobrescrito"/>
                <w:rFonts w:ascii="Arial" w:hAnsi="Arial" w:cs="Arial"/>
              </w:rPr>
              <w:t>5</w:t>
            </w:r>
            <w:r w:rsidRPr="00AC2CA6">
              <w:rPr>
                <w:rFonts w:ascii="Arial" w:hAnsi="Arial" w:cs="Arial"/>
              </w:rPr>
              <w:t xml:space="preserve">. Os pacientes </w:t>
            </w:r>
            <w:proofErr w:type="spellStart"/>
            <w:r w:rsidRPr="00AC2CA6">
              <w:rPr>
                <w:rFonts w:ascii="Arial" w:hAnsi="Arial" w:cs="Arial"/>
              </w:rPr>
              <w:t>nefróticos</w:t>
            </w:r>
            <w:proofErr w:type="spellEnd"/>
            <w:r w:rsidRPr="00AC2CA6">
              <w:rPr>
                <w:rFonts w:ascii="Arial" w:hAnsi="Arial" w:cs="Arial"/>
              </w:rPr>
              <w:t xml:space="preserve"> apresentar função renal preservada, mas também insuficiência renal progressiva sobreposta à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prolongada.</w:t>
            </w:r>
          </w:p>
          <w:p w:rsidR="00952087" w:rsidRPr="00AC2CA6" w:rsidRDefault="00952087" w:rsidP="00952087">
            <w:pPr>
              <w:pStyle w:val="corpo"/>
              <w:spacing w:before="0" w:beforeAutospacing="0" w:after="0" w:afterAutospacing="0"/>
              <w:ind w:firstLine="21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Independentemente do risco de insuficiência renal progressiva, a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tem efeitos metabólicos que influenciam o estado geral de saúde do paciente. Felizmente, alguns episódios de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são autolimitados, e alguns pacientes respondem completamente ao tratamento específico (p. ex., corticosteroides na DLM). No entanto, para a maioria, pode ser uma condição crônica ou </w:t>
            </w:r>
            <w:proofErr w:type="spellStart"/>
            <w:r w:rsidRPr="00AC2CA6">
              <w:rPr>
                <w:rFonts w:ascii="Arial" w:hAnsi="Arial" w:cs="Arial"/>
              </w:rPr>
              <w:t>recidivante</w:t>
            </w:r>
            <w:proofErr w:type="spellEnd"/>
            <w:r w:rsidRPr="00AC2CA6">
              <w:rPr>
                <w:rFonts w:ascii="Arial" w:hAnsi="Arial" w:cs="Arial"/>
              </w:rPr>
              <w:t xml:space="preserve">. Nem todos os pacientes com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 xml:space="preserve"> acima de 3,5 g/24 h apresentam uma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completa; alguns têm uma concentração sérica de albumina normal e não apresentam edema. Essa diferença presumivelmente reflete a resposta do metabolismo proteico; alguns pacientes apresentam um aumento na síntese de albumina em resposta à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 xml:space="preserve"> intensa, podendo até normalizar a albumina sérica.</w:t>
            </w:r>
          </w:p>
          <w:p w:rsidR="00CF6BCD" w:rsidRPr="00AC2CA6" w:rsidRDefault="00952087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CA6">
              <w:rPr>
                <w:rFonts w:ascii="Arial" w:hAnsi="Arial" w:cs="Arial"/>
                <w:sz w:val="24"/>
                <w:szCs w:val="24"/>
              </w:rPr>
              <w:t>A presença de edema depressível sugere síndrome </w:t>
            </w:r>
            <w:proofErr w:type="spellStart"/>
            <w:r w:rsidRPr="00AC2CA6">
              <w:rPr>
                <w:rFonts w:ascii="Arial" w:hAnsi="Arial" w:cs="Arial"/>
                <w:sz w:val="24"/>
                <w:szCs w:val="24"/>
              </w:rPr>
              <w:t>nefrótica</w:t>
            </w:r>
            <w:proofErr w:type="spellEnd"/>
            <w:r w:rsidRPr="00AC2CA6">
              <w:rPr>
                <w:rFonts w:ascii="Arial" w:hAnsi="Arial" w:cs="Arial"/>
                <w:sz w:val="24"/>
                <w:szCs w:val="24"/>
              </w:rPr>
              <w:t>, insufi</w:t>
            </w:r>
            <w:r w:rsidRPr="00AC2CA6">
              <w:rPr>
                <w:rFonts w:ascii="Arial" w:hAnsi="Arial" w:cs="Arial"/>
                <w:sz w:val="24"/>
                <w:szCs w:val="24"/>
              </w:rPr>
              <w:softHyphen/>
              <w:t xml:space="preserve">ciência cardíaca ou cirrose. No paciente </w:t>
            </w:r>
            <w:proofErr w:type="spellStart"/>
            <w:r w:rsidRPr="00AC2CA6">
              <w:rPr>
                <w:rFonts w:ascii="Arial" w:hAnsi="Arial" w:cs="Arial"/>
                <w:sz w:val="24"/>
                <w:szCs w:val="24"/>
              </w:rPr>
              <w:t>nefrótico</w:t>
            </w:r>
            <w:proofErr w:type="spellEnd"/>
            <w:r w:rsidRPr="00AC2CA6">
              <w:rPr>
                <w:rFonts w:ascii="Arial" w:hAnsi="Arial" w:cs="Arial"/>
                <w:sz w:val="24"/>
                <w:szCs w:val="24"/>
              </w:rPr>
              <w:t xml:space="preserve">, o edema é frequentemente </w:t>
            </w:r>
            <w:proofErr w:type="spellStart"/>
            <w:r w:rsidRPr="00AC2CA6">
              <w:rPr>
                <w:rFonts w:ascii="Arial" w:hAnsi="Arial" w:cs="Arial"/>
                <w:sz w:val="24"/>
                <w:szCs w:val="24"/>
              </w:rPr>
              <w:t>peri</w:t>
            </w:r>
            <w:r w:rsidR="00AC2CA6" w:rsidRPr="00AC2CA6">
              <w:rPr>
                <w:rFonts w:ascii="Arial" w:hAnsi="Arial" w:cs="Arial"/>
                <w:sz w:val="24"/>
                <w:szCs w:val="24"/>
              </w:rPr>
              <w:t>orbital</w:t>
            </w:r>
            <w:proofErr w:type="spellEnd"/>
            <w:r w:rsidR="00AC2CA6" w:rsidRPr="00AC2CA6">
              <w:rPr>
                <w:rFonts w:ascii="Arial" w:hAnsi="Arial" w:cs="Arial"/>
                <w:sz w:val="24"/>
                <w:szCs w:val="24"/>
              </w:rPr>
              <w:t xml:space="preserve"> pela manhã</w:t>
            </w:r>
            <w:r w:rsidRPr="00AC2CA6">
              <w:rPr>
                <w:rFonts w:ascii="Arial" w:hAnsi="Arial" w:cs="Arial"/>
                <w:sz w:val="24"/>
                <w:szCs w:val="24"/>
              </w:rPr>
              <w:t>, enquanto a face não fica edemaciada durante a noite no edema associado à insuficiência car</w:t>
            </w:r>
            <w:r w:rsidRPr="00AC2CA6">
              <w:rPr>
                <w:rFonts w:ascii="Arial" w:hAnsi="Arial" w:cs="Arial"/>
                <w:sz w:val="24"/>
                <w:szCs w:val="24"/>
              </w:rPr>
              <w:softHyphen/>
              <w:t>día</w:t>
            </w:r>
            <w:r w:rsidRPr="00AC2CA6">
              <w:rPr>
                <w:rFonts w:ascii="Arial" w:hAnsi="Arial" w:cs="Arial"/>
                <w:sz w:val="24"/>
                <w:szCs w:val="24"/>
              </w:rPr>
              <w:softHyphen/>
              <w:t xml:space="preserve">ca (o edema se distribui por gravidade e o paciente com insuficiência cardíaca não pode se deitar devido à </w:t>
            </w:r>
            <w:proofErr w:type="spellStart"/>
            <w:r w:rsidRPr="00AC2CA6">
              <w:rPr>
                <w:rFonts w:ascii="Arial" w:hAnsi="Arial" w:cs="Arial"/>
                <w:sz w:val="24"/>
                <w:szCs w:val="24"/>
              </w:rPr>
              <w:t>ortopneia</w:t>
            </w:r>
            <w:proofErr w:type="spellEnd"/>
            <w:r w:rsidRPr="00AC2CA6">
              <w:rPr>
                <w:rFonts w:ascii="Arial" w:hAnsi="Arial" w:cs="Arial"/>
                <w:sz w:val="24"/>
                <w:szCs w:val="24"/>
              </w:rPr>
              <w:t xml:space="preserve"> resultante da congestão pulmonar) ou na cirrose (paciente não pode se deitar devido à pressão sobre o diafragma pela ascite). Com a progressão da síndrome </w:t>
            </w:r>
            <w:proofErr w:type="spellStart"/>
            <w:r w:rsidRPr="00AC2CA6">
              <w:rPr>
                <w:rFonts w:ascii="Arial" w:hAnsi="Arial" w:cs="Arial"/>
                <w:sz w:val="24"/>
                <w:szCs w:val="24"/>
              </w:rPr>
              <w:t>nefrótica</w:t>
            </w:r>
            <w:proofErr w:type="spellEnd"/>
            <w:r w:rsidRPr="00AC2CA6">
              <w:rPr>
                <w:rFonts w:ascii="Arial" w:hAnsi="Arial" w:cs="Arial"/>
                <w:sz w:val="24"/>
                <w:szCs w:val="24"/>
              </w:rPr>
              <w:t xml:space="preserve">, o edema dos órgãos genitais e da parede abdominal torna-se aparente, e o acúmulo de fluidos leva a ascite e derrame pleural. O edema é desagradável e leva a sensação de tensão nos membros e abdome globoso. Surpreendentemente, entretanto, o edema pode tornar-se maciço na síndrome </w:t>
            </w:r>
            <w:proofErr w:type="spellStart"/>
            <w:r w:rsidRPr="00AC2CA6">
              <w:rPr>
                <w:rFonts w:ascii="Arial" w:hAnsi="Arial" w:cs="Arial"/>
                <w:sz w:val="24"/>
                <w:szCs w:val="24"/>
              </w:rPr>
              <w:t>nefrótica</w:t>
            </w:r>
            <w:proofErr w:type="spellEnd"/>
            <w:r w:rsidRPr="00AC2CA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C2CA6">
              <w:rPr>
                <w:rFonts w:ascii="Arial" w:hAnsi="Arial" w:cs="Arial"/>
                <w:sz w:val="24"/>
                <w:szCs w:val="24"/>
              </w:rPr>
              <w:lastRenderedPageBreak/>
              <w:t>e é comum o ganho de peso de 20 kg ou mais</w:t>
            </w:r>
            <w:r w:rsidR="00AC2CA6" w:rsidRPr="00AC2CA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C2CA6">
              <w:rPr>
                <w:rFonts w:ascii="Arial" w:hAnsi="Arial" w:cs="Arial"/>
                <w:sz w:val="24"/>
                <w:szCs w:val="24"/>
              </w:rPr>
              <w:t xml:space="preserve"> O edema torna-se firme e não depressível, somente quando estiver presente por um tempo prolongado</w:t>
            </w:r>
            <w:r w:rsidRPr="00AC2CA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52087" w:rsidRPr="00AC2CA6" w:rsidRDefault="00952087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C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Consequências Metabólicas da Síndrome </w:t>
            </w:r>
            <w:proofErr w:type="spellStart"/>
            <w:r w:rsidRPr="00AC2CA6">
              <w:rPr>
                <w:rFonts w:ascii="Arial" w:hAnsi="Arial" w:cs="Arial"/>
                <w:b/>
                <w:bCs/>
                <w:sz w:val="24"/>
                <w:szCs w:val="24"/>
              </w:rPr>
              <w:t>Nefrótica</w:t>
            </w:r>
            <w:proofErr w:type="spellEnd"/>
            <w:r w:rsidRPr="00AC2C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C2CA6">
              <w:rPr>
                <w:rFonts w:ascii="Arial" w:hAnsi="Arial" w:cs="Arial"/>
                <w:bCs/>
                <w:sz w:val="24"/>
                <w:szCs w:val="24"/>
              </w:rPr>
              <w:t>Hipercoagulabilidade</w:t>
            </w:r>
            <w:proofErr w:type="spellEnd"/>
            <w:r w:rsidRPr="00AC2CA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AC2CA6">
              <w:rPr>
                <w:rFonts w:ascii="Arial" w:hAnsi="Arial" w:cs="Arial"/>
                <w:bCs/>
                <w:sz w:val="24"/>
                <w:szCs w:val="24"/>
              </w:rPr>
              <w:t>Hiperlipidemia</w:t>
            </w:r>
            <w:proofErr w:type="spellEnd"/>
            <w:r w:rsidRPr="00AC2CA6">
              <w:rPr>
                <w:rFonts w:ascii="Arial" w:hAnsi="Arial" w:cs="Arial"/>
                <w:bCs/>
                <w:sz w:val="24"/>
                <w:szCs w:val="24"/>
              </w:rPr>
              <w:t xml:space="preserve"> e </w:t>
            </w:r>
            <w:proofErr w:type="spellStart"/>
            <w:r w:rsidRPr="00AC2CA6">
              <w:rPr>
                <w:rFonts w:ascii="Arial" w:hAnsi="Arial" w:cs="Arial"/>
                <w:bCs/>
                <w:sz w:val="24"/>
                <w:szCs w:val="24"/>
              </w:rPr>
              <w:t>Lipidúria</w:t>
            </w:r>
            <w:proofErr w:type="spellEnd"/>
            <w:r w:rsidRPr="00AC2CA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AC2CA6">
              <w:rPr>
                <w:rFonts w:ascii="Arial" w:hAnsi="Arial" w:cs="Arial"/>
                <w:bCs/>
                <w:sz w:val="24"/>
                <w:szCs w:val="24"/>
              </w:rPr>
              <w:t>Infecção</w:t>
            </w:r>
            <w:r w:rsidRPr="00AC2CA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AC2CA6">
              <w:rPr>
                <w:rFonts w:ascii="Arial" w:hAnsi="Arial" w:cs="Arial"/>
                <w:bCs/>
                <w:sz w:val="24"/>
                <w:szCs w:val="24"/>
              </w:rPr>
              <w:t>Alterações Agudas e Crônicas na Função Renal</w:t>
            </w:r>
            <w:r w:rsidRPr="00AC2CA6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AC2CA6" w:rsidRPr="00AC2CA6" w:rsidRDefault="00AC2CA6" w:rsidP="00AC2CA6">
            <w:pPr>
              <w:pStyle w:val="t2sem"/>
              <w:spacing w:before="0" w:beforeAutospacing="0" w:after="72" w:afterAutospacing="0"/>
              <w:rPr>
                <w:rFonts w:ascii="Arial" w:hAnsi="Arial" w:cs="Arial"/>
                <w:b/>
                <w:bCs/>
              </w:rPr>
            </w:pPr>
            <w:r w:rsidRPr="00AC2CA6">
              <w:rPr>
                <w:rFonts w:ascii="Arial" w:hAnsi="Arial" w:cs="Arial"/>
                <w:b/>
                <w:bCs/>
              </w:rPr>
              <w:t>Doença de Lesões Mínimas</w:t>
            </w:r>
          </w:p>
          <w:p w:rsidR="00AC2CA6" w:rsidRPr="00AC2CA6" w:rsidRDefault="00AC2CA6" w:rsidP="00AC2CA6">
            <w:pPr>
              <w:pStyle w:val="corposem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A doença de lesões mínimas (DLM) é uma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esteroide sensível em que a única anormalidade estrutural é a fusão e retração dos proc</w:t>
            </w:r>
            <w:r w:rsidRPr="00AC2CA6">
              <w:rPr>
                <w:rFonts w:ascii="Arial" w:hAnsi="Arial" w:cs="Arial"/>
              </w:rPr>
              <w:t xml:space="preserve">essos </w:t>
            </w:r>
            <w:proofErr w:type="spellStart"/>
            <w:r w:rsidRPr="00AC2CA6">
              <w:rPr>
                <w:rFonts w:ascii="Arial" w:hAnsi="Arial" w:cs="Arial"/>
              </w:rPr>
              <w:t>podocitários</w:t>
            </w:r>
            <w:proofErr w:type="spellEnd"/>
            <w:r w:rsidRPr="00AC2CA6">
              <w:rPr>
                <w:rFonts w:ascii="Arial" w:hAnsi="Arial" w:cs="Arial"/>
              </w:rPr>
              <w:t xml:space="preserve"> vistas na ME</w:t>
            </w:r>
            <w:r w:rsidRPr="00AC2CA6">
              <w:rPr>
                <w:rFonts w:ascii="Arial" w:hAnsi="Arial" w:cs="Arial"/>
              </w:rPr>
              <w:t xml:space="preserve">. Por muitos anos, pensou-se que a lesão </w:t>
            </w:r>
            <w:proofErr w:type="spellStart"/>
            <w:r w:rsidRPr="00AC2CA6">
              <w:rPr>
                <w:rFonts w:ascii="Arial" w:hAnsi="Arial" w:cs="Arial"/>
              </w:rPr>
              <w:t>podocitária</w:t>
            </w:r>
            <w:proofErr w:type="spellEnd"/>
            <w:r w:rsidRPr="00AC2CA6">
              <w:rPr>
                <w:rFonts w:ascii="Arial" w:hAnsi="Arial" w:cs="Arial"/>
              </w:rPr>
              <w:t xml:space="preserve"> na DLM fosse causada por uma </w:t>
            </w:r>
            <w:proofErr w:type="spellStart"/>
            <w:r w:rsidRPr="00AC2CA6">
              <w:rPr>
                <w:rFonts w:ascii="Arial" w:hAnsi="Arial" w:cs="Arial"/>
              </w:rPr>
              <w:t>citocina</w:t>
            </w:r>
            <w:proofErr w:type="spellEnd"/>
            <w:r w:rsidRPr="00AC2CA6">
              <w:rPr>
                <w:rFonts w:ascii="Arial" w:hAnsi="Arial" w:cs="Arial"/>
              </w:rPr>
              <w:t xml:space="preserve"> liberada pelas células T. As células T são ativadas na DLM, e os </w:t>
            </w:r>
            <w:proofErr w:type="spellStart"/>
            <w:r w:rsidRPr="00AC2CA6">
              <w:rPr>
                <w:rFonts w:ascii="Arial" w:hAnsi="Arial" w:cs="Arial"/>
              </w:rPr>
              <w:t>hibridomas</w:t>
            </w:r>
            <w:proofErr w:type="spellEnd"/>
            <w:r w:rsidRPr="00AC2CA6">
              <w:rPr>
                <w:rFonts w:ascii="Arial" w:hAnsi="Arial" w:cs="Arial"/>
              </w:rPr>
              <w:t xml:space="preserve"> de células T desses pacientes secretam um fator que produz grave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 xml:space="preserve"> em ratos. Uma </w:t>
            </w:r>
            <w:proofErr w:type="spellStart"/>
            <w:r w:rsidRPr="00AC2CA6">
              <w:rPr>
                <w:rFonts w:ascii="Arial" w:hAnsi="Arial" w:cs="Arial"/>
              </w:rPr>
              <w:t>citocina</w:t>
            </w:r>
            <w:proofErr w:type="spellEnd"/>
            <w:r w:rsidRPr="00AC2CA6">
              <w:rPr>
                <w:rFonts w:ascii="Arial" w:hAnsi="Arial" w:cs="Arial"/>
              </w:rPr>
              <w:t xml:space="preserve"> candidata é a </w:t>
            </w:r>
            <w:proofErr w:type="spellStart"/>
            <w:r w:rsidRPr="00AC2CA6">
              <w:rPr>
                <w:rFonts w:ascii="Arial" w:hAnsi="Arial" w:cs="Arial"/>
              </w:rPr>
              <w:t>interleucina</w:t>
            </w:r>
            <w:proofErr w:type="spellEnd"/>
            <w:r w:rsidRPr="00AC2CA6">
              <w:rPr>
                <w:rFonts w:ascii="Arial" w:hAnsi="Arial" w:cs="Arial"/>
              </w:rPr>
              <w:t xml:space="preserve"> 13 (IL-13), que é expressa pelas células T em pacientes com DLM, e a </w:t>
            </w:r>
            <w:proofErr w:type="spellStart"/>
            <w:r w:rsidRPr="00AC2CA6">
              <w:rPr>
                <w:rFonts w:ascii="Arial" w:hAnsi="Arial" w:cs="Arial"/>
              </w:rPr>
              <w:t>superexpressão</w:t>
            </w:r>
            <w:proofErr w:type="spellEnd"/>
            <w:r w:rsidRPr="00AC2CA6">
              <w:rPr>
                <w:rFonts w:ascii="Arial" w:hAnsi="Arial" w:cs="Arial"/>
              </w:rPr>
              <w:t xml:space="preserve"> de IL-13 causa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e alterações histológicas consistentes com DLM em ratos. Entretanto, a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 xml:space="preserve"> pode ser induzida em ratos </w:t>
            </w:r>
            <w:proofErr w:type="spellStart"/>
            <w:r w:rsidRPr="00AC2CA6">
              <w:rPr>
                <w:rFonts w:ascii="Arial" w:hAnsi="Arial" w:cs="Arial"/>
              </w:rPr>
              <w:t>imunossuprimidos</w:t>
            </w:r>
            <w:proofErr w:type="spellEnd"/>
            <w:r w:rsidRPr="00AC2CA6">
              <w:rPr>
                <w:rFonts w:ascii="Arial" w:hAnsi="Arial" w:cs="Arial"/>
              </w:rPr>
              <w:t xml:space="preserve"> utilizando-se células hematopoiéticas da medula óssea CD-34 positivas de pacientes com DLM e GESF recorrente, mas não de suas células T.</w:t>
            </w:r>
            <w:r w:rsidRPr="00AC2CA6">
              <w:rPr>
                <w:rStyle w:val="sobrescrito"/>
                <w:rFonts w:ascii="Arial" w:hAnsi="Arial" w:cs="Arial"/>
              </w:rPr>
              <w:t> </w:t>
            </w:r>
            <w:r w:rsidRPr="00AC2CA6">
              <w:rPr>
                <w:rFonts w:ascii="Arial" w:hAnsi="Arial" w:cs="Arial"/>
              </w:rPr>
              <w:t>Então, é necessário esclarecer o papel das células T nessa doença.</w:t>
            </w:r>
          </w:p>
          <w:p w:rsidR="00AC2CA6" w:rsidRPr="00AC2CA6" w:rsidRDefault="00AC2CA6" w:rsidP="00AC2CA6">
            <w:pPr>
              <w:pStyle w:val="corpo"/>
              <w:spacing w:before="0" w:beforeAutospacing="0" w:after="0" w:afterAutospacing="0"/>
              <w:ind w:firstLine="21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Evidências também sugerem que a lesão </w:t>
            </w:r>
            <w:proofErr w:type="spellStart"/>
            <w:r w:rsidRPr="00AC2CA6">
              <w:rPr>
                <w:rFonts w:ascii="Arial" w:hAnsi="Arial" w:cs="Arial"/>
              </w:rPr>
              <w:t>podocitária</w:t>
            </w:r>
            <w:proofErr w:type="spellEnd"/>
            <w:r w:rsidRPr="00AC2CA6">
              <w:rPr>
                <w:rFonts w:ascii="Arial" w:hAnsi="Arial" w:cs="Arial"/>
              </w:rPr>
              <w:t xml:space="preserve"> está associada à </w:t>
            </w:r>
            <w:proofErr w:type="spellStart"/>
            <w:r w:rsidRPr="00AC2CA6">
              <w:rPr>
                <w:rFonts w:ascii="Arial" w:hAnsi="Arial" w:cs="Arial"/>
              </w:rPr>
              <w:t>superexpressão</w:t>
            </w:r>
            <w:proofErr w:type="spellEnd"/>
            <w:r w:rsidRPr="00AC2CA6">
              <w:rPr>
                <w:rFonts w:ascii="Arial" w:hAnsi="Arial" w:cs="Arial"/>
              </w:rPr>
              <w:t xml:space="preserve"> de angiopoetina-</w:t>
            </w:r>
            <w:r w:rsidRPr="00AC2CA6">
              <w:rPr>
                <w:rStyle w:val="nfase"/>
                <w:rFonts w:ascii="Arial" w:hAnsi="Arial" w:cs="Arial"/>
              </w:rPr>
              <w:t>like</w:t>
            </w:r>
            <w:r w:rsidRPr="00AC2CA6">
              <w:rPr>
                <w:rFonts w:ascii="Arial" w:hAnsi="Arial" w:cs="Arial"/>
              </w:rPr>
              <w:t xml:space="preserve">-4, a qual pode ser responsável pela resposta </w:t>
            </w:r>
            <w:proofErr w:type="spellStart"/>
            <w:r w:rsidRPr="00AC2CA6">
              <w:rPr>
                <w:rFonts w:ascii="Arial" w:hAnsi="Arial" w:cs="Arial"/>
              </w:rPr>
              <w:t>proteinúrica</w:t>
            </w:r>
            <w:proofErr w:type="spellEnd"/>
            <w:r w:rsidRPr="00AC2CA6">
              <w:rPr>
                <w:rFonts w:ascii="Arial" w:hAnsi="Arial" w:cs="Arial"/>
              </w:rPr>
              <w:t xml:space="preserve">. Essa </w:t>
            </w:r>
            <w:proofErr w:type="spellStart"/>
            <w:r w:rsidRPr="00AC2CA6">
              <w:rPr>
                <w:rFonts w:ascii="Arial" w:hAnsi="Arial" w:cs="Arial"/>
              </w:rPr>
              <w:t>superexpressão</w:t>
            </w:r>
            <w:proofErr w:type="spellEnd"/>
            <w:r w:rsidRPr="00AC2CA6">
              <w:rPr>
                <w:rFonts w:ascii="Arial" w:hAnsi="Arial" w:cs="Arial"/>
              </w:rPr>
              <w:t xml:space="preserve"> pode ser reduzida com corticoides e </w:t>
            </w:r>
            <w:r w:rsidRPr="00AC2CA6">
              <w:rPr>
                <w:rStyle w:val="nfase"/>
                <w:rFonts w:ascii="Arial" w:hAnsi="Arial" w:cs="Arial"/>
              </w:rPr>
              <w:t>N-</w:t>
            </w:r>
            <w:proofErr w:type="spellStart"/>
            <w:r w:rsidRPr="00AC2CA6">
              <w:rPr>
                <w:rFonts w:ascii="Arial" w:hAnsi="Arial" w:cs="Arial"/>
              </w:rPr>
              <w:t>acetil</w:t>
            </w:r>
            <w:proofErr w:type="spellEnd"/>
            <w:r w:rsidRPr="00AC2CA6">
              <w:rPr>
                <w:rFonts w:ascii="Arial" w:hAnsi="Arial" w:cs="Arial"/>
              </w:rPr>
              <w:t>-</w:t>
            </w:r>
            <w:r w:rsidRPr="00AC2CA6">
              <w:rPr>
                <w:rStyle w:val="versalete"/>
                <w:rFonts w:ascii="Arial" w:hAnsi="Arial" w:cs="Arial"/>
              </w:rPr>
              <w:t>d</w:t>
            </w:r>
            <w:r w:rsidRPr="00AC2CA6">
              <w:rPr>
                <w:rFonts w:ascii="Arial" w:hAnsi="Arial" w:cs="Arial"/>
              </w:rPr>
              <w:t>-</w:t>
            </w:r>
            <w:proofErr w:type="spellStart"/>
            <w:r w:rsidRPr="00AC2CA6">
              <w:rPr>
                <w:rFonts w:ascii="Arial" w:hAnsi="Arial" w:cs="Arial"/>
              </w:rPr>
              <w:t>manosamina</w:t>
            </w:r>
            <w:proofErr w:type="spellEnd"/>
            <w:r w:rsidRPr="00AC2CA6">
              <w:rPr>
                <w:rStyle w:val="nfase"/>
                <w:rFonts w:ascii="Arial" w:hAnsi="Arial" w:cs="Arial"/>
              </w:rPr>
              <w:t>. </w:t>
            </w:r>
            <w:r w:rsidRPr="00AC2CA6">
              <w:rPr>
                <w:rFonts w:ascii="Arial" w:hAnsi="Arial" w:cs="Arial"/>
              </w:rPr>
              <w:t>Além disso, os pacientes com DLM mostram altos níveis de CD80 (</w:t>
            </w:r>
            <w:proofErr w:type="gramStart"/>
            <w:r w:rsidRPr="00AC2CA6">
              <w:rPr>
                <w:rFonts w:ascii="Arial" w:hAnsi="Arial" w:cs="Arial"/>
              </w:rPr>
              <w:t>B7.</w:t>
            </w:r>
            <w:proofErr w:type="gramEnd"/>
            <w:r w:rsidRPr="00AC2CA6">
              <w:rPr>
                <w:rFonts w:ascii="Arial" w:hAnsi="Arial" w:cs="Arial"/>
              </w:rPr>
              <w:t xml:space="preserve">1) na urina e nos </w:t>
            </w:r>
            <w:proofErr w:type="spellStart"/>
            <w:r w:rsidRPr="00AC2CA6">
              <w:rPr>
                <w:rFonts w:ascii="Arial" w:hAnsi="Arial" w:cs="Arial"/>
              </w:rPr>
              <w:t>podócitos</w:t>
            </w:r>
            <w:proofErr w:type="spellEnd"/>
            <w:r w:rsidRPr="00AC2CA6">
              <w:rPr>
                <w:rFonts w:ascii="Arial" w:hAnsi="Arial" w:cs="Arial"/>
              </w:rPr>
              <w:t xml:space="preserve">, e os níveis de CD80 urinários se correlacionam com atividade da doença. O CD80 é um antígeno normalmente expresso pelas CDs e células B, e por isso a observação de que os </w:t>
            </w:r>
            <w:proofErr w:type="spellStart"/>
            <w:r w:rsidRPr="00AC2CA6">
              <w:rPr>
                <w:rFonts w:ascii="Arial" w:hAnsi="Arial" w:cs="Arial"/>
              </w:rPr>
              <w:t>podócitos</w:t>
            </w:r>
            <w:proofErr w:type="spellEnd"/>
            <w:r w:rsidRPr="00AC2CA6">
              <w:rPr>
                <w:rFonts w:ascii="Arial" w:hAnsi="Arial" w:cs="Arial"/>
              </w:rPr>
              <w:t xml:space="preserve"> podem expressar CD80 sugere que os </w:t>
            </w:r>
            <w:proofErr w:type="spellStart"/>
            <w:r w:rsidRPr="00AC2CA6">
              <w:rPr>
                <w:rFonts w:ascii="Arial" w:hAnsi="Arial" w:cs="Arial"/>
              </w:rPr>
              <w:t>podócitos</w:t>
            </w:r>
            <w:proofErr w:type="spellEnd"/>
            <w:r w:rsidRPr="00AC2CA6">
              <w:rPr>
                <w:rFonts w:ascii="Arial" w:hAnsi="Arial" w:cs="Arial"/>
              </w:rPr>
              <w:t xml:space="preserve"> podem adquirir algumas características semelhantes à CD.</w:t>
            </w:r>
          </w:p>
          <w:p w:rsidR="00AC2CA6" w:rsidRPr="00AC2CA6" w:rsidRDefault="00AC2CA6" w:rsidP="00AC2CA6">
            <w:pPr>
              <w:pStyle w:val="t2"/>
              <w:spacing w:before="336" w:beforeAutospacing="0" w:after="72" w:afterAutospacing="0"/>
              <w:rPr>
                <w:rFonts w:ascii="Arial" w:hAnsi="Arial" w:cs="Arial"/>
                <w:b/>
                <w:bCs/>
              </w:rPr>
            </w:pPr>
            <w:proofErr w:type="spellStart"/>
            <w:r w:rsidRPr="00AC2CA6">
              <w:rPr>
                <w:rFonts w:ascii="Arial" w:hAnsi="Arial" w:cs="Arial"/>
                <w:b/>
                <w:bCs/>
              </w:rPr>
              <w:t>Glomeruloesclerose</w:t>
            </w:r>
            <w:proofErr w:type="spellEnd"/>
            <w:r w:rsidRPr="00AC2CA6">
              <w:rPr>
                <w:rFonts w:ascii="Arial" w:hAnsi="Arial" w:cs="Arial"/>
                <w:b/>
                <w:bCs/>
              </w:rPr>
              <w:t xml:space="preserve"> Segmentar e Focal</w:t>
            </w:r>
          </w:p>
          <w:p w:rsidR="00AC2CA6" w:rsidRPr="00AC2CA6" w:rsidRDefault="00AC2CA6" w:rsidP="00AC2CA6">
            <w:pPr>
              <w:pStyle w:val="corposem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A </w:t>
            </w:r>
            <w:proofErr w:type="spellStart"/>
            <w:r w:rsidRPr="00AC2CA6">
              <w:rPr>
                <w:rFonts w:ascii="Arial" w:hAnsi="Arial" w:cs="Arial"/>
              </w:rPr>
              <w:t>glomeruloesclerose</w:t>
            </w:r>
            <w:proofErr w:type="spellEnd"/>
            <w:r w:rsidRPr="00AC2CA6">
              <w:rPr>
                <w:rFonts w:ascii="Arial" w:hAnsi="Arial" w:cs="Arial"/>
              </w:rPr>
              <w:t xml:space="preserve"> segmentar e focal é um tipo de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 xml:space="preserve"> que também ocorre sem depósitos imunes, mas, assim como a DLM, existe um defeito generalizado da parede capilar com fusão dos processos </w:t>
            </w:r>
            <w:proofErr w:type="spellStart"/>
            <w:r w:rsidRPr="00AC2CA6">
              <w:rPr>
                <w:rFonts w:ascii="Arial" w:hAnsi="Arial" w:cs="Arial"/>
              </w:rPr>
              <w:t>podocitários</w:t>
            </w:r>
            <w:proofErr w:type="spellEnd"/>
            <w:r w:rsidRPr="00AC2CA6">
              <w:rPr>
                <w:rFonts w:ascii="Arial" w:hAnsi="Arial" w:cs="Arial"/>
              </w:rPr>
              <w:t xml:space="preserve"> (também chamada </w:t>
            </w:r>
            <w:r w:rsidRPr="00AC2CA6">
              <w:rPr>
                <w:rStyle w:val="nfase"/>
                <w:rFonts w:ascii="Arial" w:hAnsi="Arial" w:cs="Arial"/>
              </w:rPr>
              <w:t>simplificação</w:t>
            </w:r>
            <w:r w:rsidRPr="00AC2CA6">
              <w:rPr>
                <w:rFonts w:ascii="Arial" w:hAnsi="Arial" w:cs="Arial"/>
              </w:rPr>
              <w:t xml:space="preserve">) </w:t>
            </w:r>
            <w:proofErr w:type="gramStart"/>
            <w:r w:rsidRPr="00AC2CA6">
              <w:rPr>
                <w:rFonts w:ascii="Arial" w:hAnsi="Arial" w:cs="Arial"/>
              </w:rPr>
              <w:t>à</w:t>
            </w:r>
            <w:proofErr w:type="gramEnd"/>
            <w:r w:rsidRPr="00AC2CA6">
              <w:rPr>
                <w:rFonts w:ascii="Arial" w:hAnsi="Arial" w:cs="Arial"/>
              </w:rPr>
              <w:t xml:space="preserve"> ME</w:t>
            </w:r>
            <w:r w:rsidRPr="00AC2CA6">
              <w:rPr>
                <w:rFonts w:ascii="Arial" w:hAnsi="Arial" w:cs="Arial"/>
              </w:rPr>
              <w:t>. Entretanto, diferentemente da DLM, há cicatriz segmentar (esclerose) em alguns glomérulos com GESF. Pensa-se também que a GESF idiopática seja causada por um fator circulante, e estudos recentes sugerem que alguns casos devem ser mediados pelo receptor da uroquinase solúvel circulante (</w:t>
            </w:r>
            <w:proofErr w:type="spellStart"/>
            <w:proofErr w:type="gramStart"/>
            <w:r w:rsidRPr="00AC2CA6">
              <w:rPr>
                <w:rFonts w:ascii="Arial" w:hAnsi="Arial" w:cs="Arial"/>
              </w:rPr>
              <w:t>suPAR</w:t>
            </w:r>
            <w:proofErr w:type="spellEnd"/>
            <w:proofErr w:type="gramEnd"/>
            <w:r w:rsidRPr="00AC2CA6">
              <w:rPr>
                <w:rFonts w:ascii="Arial" w:hAnsi="Arial" w:cs="Arial"/>
              </w:rPr>
              <w:t>) o qual ativa a beta</w:t>
            </w:r>
            <w:r w:rsidRPr="00AC2CA6">
              <w:rPr>
                <w:rStyle w:val="subscrito"/>
                <w:rFonts w:ascii="Arial" w:hAnsi="Arial" w:cs="Arial"/>
              </w:rPr>
              <w:t>3</w:t>
            </w:r>
            <w:r w:rsidRPr="00AC2CA6">
              <w:rPr>
                <w:rFonts w:ascii="Arial" w:hAnsi="Arial" w:cs="Arial"/>
              </w:rPr>
              <w:t> </w:t>
            </w:r>
            <w:proofErr w:type="spellStart"/>
            <w:r w:rsidRPr="00AC2CA6">
              <w:rPr>
                <w:rFonts w:ascii="Arial" w:hAnsi="Arial" w:cs="Arial"/>
              </w:rPr>
              <w:t>integrina</w:t>
            </w:r>
            <w:proofErr w:type="spellEnd"/>
            <w:r w:rsidRPr="00AC2CA6">
              <w:rPr>
                <w:rFonts w:ascii="Arial" w:hAnsi="Arial" w:cs="Arial"/>
              </w:rPr>
              <w:t xml:space="preserve"> dos </w:t>
            </w:r>
            <w:proofErr w:type="spellStart"/>
            <w:r w:rsidRPr="00AC2CA6">
              <w:rPr>
                <w:rFonts w:ascii="Arial" w:hAnsi="Arial" w:cs="Arial"/>
              </w:rPr>
              <w:t>podócitos</w:t>
            </w:r>
            <w:proofErr w:type="spellEnd"/>
            <w:r w:rsidRPr="00AC2CA6">
              <w:rPr>
                <w:rFonts w:ascii="Arial" w:hAnsi="Arial" w:cs="Arial"/>
              </w:rPr>
              <w:t xml:space="preserve">, levando à ativação </w:t>
            </w:r>
            <w:proofErr w:type="spellStart"/>
            <w:r w:rsidRPr="00AC2CA6">
              <w:rPr>
                <w:rFonts w:ascii="Arial" w:hAnsi="Arial" w:cs="Arial"/>
              </w:rPr>
              <w:t>podocitária</w:t>
            </w:r>
            <w:proofErr w:type="spellEnd"/>
            <w:r w:rsidRPr="00AC2CA6">
              <w:rPr>
                <w:rFonts w:ascii="Arial" w:hAnsi="Arial" w:cs="Arial"/>
              </w:rPr>
              <w:t xml:space="preserve"> e proteinúria.</w:t>
            </w:r>
            <w:r w:rsidRPr="00AC2CA6">
              <w:rPr>
                <w:rStyle w:val="sobrescrito"/>
                <w:rFonts w:ascii="Arial" w:hAnsi="Arial" w:cs="Arial"/>
              </w:rPr>
              <w:t>16 </w:t>
            </w:r>
            <w:r w:rsidRPr="00AC2CA6">
              <w:rPr>
                <w:rFonts w:ascii="Arial" w:hAnsi="Arial" w:cs="Arial"/>
              </w:rPr>
              <w:t xml:space="preserve">O mecanismo responsável pela ativação do </w:t>
            </w:r>
            <w:proofErr w:type="spellStart"/>
            <w:r w:rsidRPr="00AC2CA6">
              <w:rPr>
                <w:rFonts w:ascii="Arial" w:hAnsi="Arial" w:cs="Arial"/>
              </w:rPr>
              <w:t>suPAR</w:t>
            </w:r>
            <w:proofErr w:type="spellEnd"/>
            <w:r w:rsidRPr="00AC2CA6">
              <w:rPr>
                <w:rFonts w:ascii="Arial" w:hAnsi="Arial" w:cs="Arial"/>
              </w:rPr>
              <w:t xml:space="preserve"> não é conhecido, e ainda é cedo para saber se mensurar o </w:t>
            </w:r>
            <w:proofErr w:type="spellStart"/>
            <w:r w:rsidRPr="00AC2CA6">
              <w:rPr>
                <w:rFonts w:ascii="Arial" w:hAnsi="Arial" w:cs="Arial"/>
              </w:rPr>
              <w:t>suPAR</w:t>
            </w:r>
            <w:proofErr w:type="spellEnd"/>
            <w:r w:rsidRPr="00AC2CA6">
              <w:rPr>
                <w:rFonts w:ascii="Arial" w:hAnsi="Arial" w:cs="Arial"/>
              </w:rPr>
              <w:t xml:space="preserve"> irá diferenciar com segurança GESF de outras doenças glomerulares ou até mesmo guiar o tratamento. Outras proteínas, como a </w:t>
            </w:r>
            <w:proofErr w:type="spellStart"/>
            <w:r w:rsidRPr="00AC2CA6">
              <w:rPr>
                <w:rFonts w:ascii="Arial" w:hAnsi="Arial" w:cs="Arial"/>
              </w:rPr>
              <w:t>citocina</w:t>
            </w:r>
            <w:proofErr w:type="spellEnd"/>
            <w:r w:rsidRPr="00AC2CA6">
              <w:rPr>
                <w:rFonts w:ascii="Arial" w:hAnsi="Arial" w:cs="Arial"/>
              </w:rPr>
              <w:t xml:space="preserve"> semelhante à </w:t>
            </w:r>
            <w:proofErr w:type="spellStart"/>
            <w:r w:rsidRPr="00AC2CA6">
              <w:rPr>
                <w:rFonts w:ascii="Arial" w:hAnsi="Arial" w:cs="Arial"/>
              </w:rPr>
              <w:t>cardiotropina</w:t>
            </w:r>
            <w:proofErr w:type="spellEnd"/>
            <w:r w:rsidRPr="00AC2CA6">
              <w:rPr>
                <w:rFonts w:ascii="Arial" w:hAnsi="Arial" w:cs="Arial"/>
              </w:rPr>
              <w:t xml:space="preserve"> </w:t>
            </w:r>
            <w:proofErr w:type="gramStart"/>
            <w:r w:rsidRPr="00AC2CA6">
              <w:rPr>
                <w:rFonts w:ascii="Arial" w:hAnsi="Arial" w:cs="Arial"/>
              </w:rPr>
              <w:t>1</w:t>
            </w:r>
            <w:proofErr w:type="gramEnd"/>
            <w:r w:rsidRPr="00AC2CA6">
              <w:rPr>
                <w:rFonts w:ascii="Arial" w:hAnsi="Arial" w:cs="Arial"/>
              </w:rPr>
              <w:t>, também vêm sendo investigadas como potenciais fatores circulantes que podem mediar a GESF.</w:t>
            </w:r>
          </w:p>
          <w:p w:rsidR="00AC2CA6" w:rsidRPr="00AC2CA6" w:rsidRDefault="00AC2CA6" w:rsidP="00AC2CA6">
            <w:pPr>
              <w:pStyle w:val="corpo"/>
              <w:spacing w:before="0" w:beforeAutospacing="0" w:after="0" w:afterAutospacing="0"/>
              <w:ind w:firstLine="21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>Uma variante da GESF é a GESF</w:t>
            </w:r>
            <w:r w:rsidRPr="00AC2CA6">
              <w:rPr>
                <w:rStyle w:val="nfase"/>
                <w:rFonts w:ascii="Arial" w:hAnsi="Arial" w:cs="Arial"/>
              </w:rPr>
              <w:t> </w:t>
            </w:r>
            <w:proofErr w:type="spellStart"/>
            <w:r w:rsidRPr="00AC2CA6">
              <w:rPr>
                <w:rStyle w:val="nfase"/>
                <w:rFonts w:ascii="Arial" w:hAnsi="Arial" w:cs="Arial"/>
              </w:rPr>
              <w:t>colapsante</w:t>
            </w:r>
            <w:proofErr w:type="spellEnd"/>
            <w:r w:rsidRPr="00AC2CA6">
              <w:rPr>
                <w:rFonts w:ascii="Arial" w:hAnsi="Arial" w:cs="Arial"/>
              </w:rPr>
              <w:t>, na qual</w:t>
            </w:r>
            <w:r w:rsidRPr="00AC2CA6">
              <w:rPr>
                <w:rStyle w:val="nfase"/>
                <w:rFonts w:ascii="Arial" w:hAnsi="Arial" w:cs="Arial"/>
              </w:rPr>
              <w:t> </w:t>
            </w:r>
            <w:r w:rsidRPr="00AC2CA6">
              <w:rPr>
                <w:rFonts w:ascii="Arial" w:hAnsi="Arial" w:cs="Arial"/>
              </w:rPr>
              <w:t xml:space="preserve">há proliferação do </w:t>
            </w:r>
            <w:proofErr w:type="spellStart"/>
            <w:r w:rsidRPr="00AC2CA6">
              <w:rPr>
                <w:rFonts w:ascii="Arial" w:hAnsi="Arial" w:cs="Arial"/>
              </w:rPr>
              <w:t>podócito</w:t>
            </w:r>
            <w:proofErr w:type="spellEnd"/>
            <w:r w:rsidRPr="00AC2CA6">
              <w:rPr>
                <w:rFonts w:ascii="Arial" w:hAnsi="Arial" w:cs="Arial"/>
              </w:rPr>
              <w:t xml:space="preserve"> normalmente inativo, levando ao colapso do tufo glomerular geralmente associado </w:t>
            </w:r>
            <w:proofErr w:type="gramStart"/>
            <w:r w:rsidRPr="00AC2CA6">
              <w:rPr>
                <w:rFonts w:ascii="Arial" w:hAnsi="Arial" w:cs="Arial"/>
              </w:rPr>
              <w:t>a</w:t>
            </w:r>
            <w:proofErr w:type="gramEnd"/>
            <w:r w:rsidRPr="00AC2CA6">
              <w:rPr>
                <w:rFonts w:ascii="Arial" w:hAnsi="Arial" w:cs="Arial"/>
              </w:rPr>
              <w:t xml:space="preserve">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 xml:space="preserve"> maciça. A produção de fatores de crescimento pelos </w:t>
            </w:r>
            <w:proofErr w:type="spellStart"/>
            <w:r w:rsidRPr="00AC2CA6">
              <w:rPr>
                <w:rFonts w:ascii="Arial" w:hAnsi="Arial" w:cs="Arial"/>
              </w:rPr>
              <w:t>podócitos</w:t>
            </w:r>
            <w:proofErr w:type="spellEnd"/>
            <w:r w:rsidRPr="00AC2CA6">
              <w:rPr>
                <w:rFonts w:ascii="Arial" w:hAnsi="Arial" w:cs="Arial"/>
              </w:rPr>
              <w:t xml:space="preserve">, como VEGF, ou a inibição local de proteínas do ciclo celular que normalmente mantêm o </w:t>
            </w:r>
            <w:proofErr w:type="spellStart"/>
            <w:r w:rsidRPr="00AC2CA6">
              <w:rPr>
                <w:rFonts w:ascii="Arial" w:hAnsi="Arial" w:cs="Arial"/>
              </w:rPr>
              <w:t>podócito</w:t>
            </w:r>
            <w:proofErr w:type="spellEnd"/>
            <w:r w:rsidRPr="00AC2CA6">
              <w:rPr>
                <w:rFonts w:ascii="Arial" w:hAnsi="Arial" w:cs="Arial"/>
              </w:rPr>
              <w:t xml:space="preserve"> em um estado não proliferativo podem estar envolvidas na patogênese</w:t>
            </w:r>
            <w:r w:rsidRPr="00AC2CA6">
              <w:rPr>
                <w:rFonts w:ascii="Arial" w:hAnsi="Arial" w:cs="Arial"/>
              </w:rPr>
              <w:t>.</w:t>
            </w:r>
          </w:p>
          <w:p w:rsidR="00AC2CA6" w:rsidRPr="00AC2CA6" w:rsidRDefault="00AC2CA6" w:rsidP="00AC2CA6">
            <w:pPr>
              <w:pStyle w:val="corpo"/>
              <w:spacing w:before="0" w:beforeAutospacing="0" w:after="0" w:afterAutospacing="0"/>
              <w:ind w:firstLine="21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As lesões </w:t>
            </w:r>
            <w:proofErr w:type="spellStart"/>
            <w:r w:rsidRPr="00AC2CA6">
              <w:rPr>
                <w:rFonts w:ascii="Arial" w:hAnsi="Arial" w:cs="Arial"/>
              </w:rPr>
              <w:t>esclerosantes</w:t>
            </w:r>
            <w:proofErr w:type="spellEnd"/>
            <w:r w:rsidRPr="00AC2CA6">
              <w:rPr>
                <w:rFonts w:ascii="Arial" w:hAnsi="Arial" w:cs="Arial"/>
              </w:rPr>
              <w:t xml:space="preserve"> focais, na ausência de síndrome </w:t>
            </w:r>
            <w:proofErr w:type="spellStart"/>
            <w:r w:rsidRPr="00AC2CA6">
              <w:rPr>
                <w:rFonts w:ascii="Arial" w:hAnsi="Arial" w:cs="Arial"/>
              </w:rPr>
              <w:t>nefrótica</w:t>
            </w:r>
            <w:proofErr w:type="spellEnd"/>
            <w:r w:rsidRPr="00AC2CA6">
              <w:rPr>
                <w:rFonts w:ascii="Arial" w:hAnsi="Arial" w:cs="Arial"/>
              </w:rPr>
              <w:t>, podem também ocorrer numa ampla variedade de lesões renais incluindo GN, hipertensão crônica e doença renal progressiva de qualquer etiologia. Essas lesões são particularmente comuns nos afro-americanos; achados recentes sugerem que essa suscetibilidade está relacionada ao aumento da frequência do polimorfismo genético em</w:t>
            </w:r>
            <w:r w:rsidRPr="00AC2CA6">
              <w:rPr>
                <w:rStyle w:val="nfase"/>
                <w:rFonts w:ascii="Arial" w:hAnsi="Arial" w:cs="Arial"/>
              </w:rPr>
              <w:t> APOL1</w:t>
            </w:r>
            <w:r w:rsidRPr="00AC2CA6">
              <w:rPr>
                <w:rFonts w:ascii="Arial" w:hAnsi="Arial" w:cs="Arial"/>
              </w:rPr>
              <w:t>, gene que codifica uma lipoproteína circulante.</w:t>
            </w:r>
          </w:p>
          <w:p w:rsidR="00CF6440" w:rsidRPr="00AC2CA6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CA6" w:rsidRPr="00AC2CA6" w:rsidRDefault="00AC2CA6" w:rsidP="00AC2CA6">
            <w:pPr>
              <w:pStyle w:val="t2"/>
              <w:spacing w:before="336" w:beforeAutospacing="0" w:after="72" w:afterAutospacing="0"/>
              <w:rPr>
                <w:rFonts w:ascii="Arial" w:hAnsi="Arial" w:cs="Arial"/>
                <w:b/>
                <w:bCs/>
              </w:rPr>
            </w:pPr>
            <w:proofErr w:type="spellStart"/>
            <w:r w:rsidRPr="00AC2CA6">
              <w:rPr>
                <w:rFonts w:ascii="Arial" w:hAnsi="Arial" w:cs="Arial"/>
                <w:b/>
                <w:bCs/>
              </w:rPr>
              <w:t>N</w:t>
            </w:r>
            <w:r w:rsidRPr="00AC2CA6">
              <w:rPr>
                <w:rFonts w:ascii="Arial" w:hAnsi="Arial" w:cs="Arial"/>
                <w:b/>
                <w:bCs/>
              </w:rPr>
              <w:t>efropatia</w:t>
            </w:r>
            <w:proofErr w:type="spellEnd"/>
            <w:r w:rsidRPr="00AC2CA6">
              <w:rPr>
                <w:rFonts w:ascii="Arial" w:hAnsi="Arial" w:cs="Arial"/>
                <w:b/>
                <w:bCs/>
              </w:rPr>
              <w:t xml:space="preserve"> Membranosa</w:t>
            </w:r>
          </w:p>
          <w:p w:rsidR="00AC2CA6" w:rsidRPr="00AC2CA6" w:rsidRDefault="00AC2CA6" w:rsidP="00AC2CA6">
            <w:pPr>
              <w:pStyle w:val="corposem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Na </w:t>
            </w:r>
            <w:proofErr w:type="spellStart"/>
            <w:r w:rsidRPr="00AC2CA6">
              <w:rPr>
                <w:rFonts w:ascii="Arial" w:hAnsi="Arial" w:cs="Arial"/>
              </w:rPr>
              <w:t>nefropatia</w:t>
            </w:r>
            <w:proofErr w:type="spellEnd"/>
            <w:r w:rsidRPr="00AC2CA6">
              <w:rPr>
                <w:rFonts w:ascii="Arial" w:hAnsi="Arial" w:cs="Arial"/>
              </w:rPr>
              <w:t xml:space="preserve"> membranosa (NM), os depósitos imunes estão localizados nos espaços </w:t>
            </w:r>
            <w:proofErr w:type="spellStart"/>
            <w:r w:rsidRPr="00AC2CA6">
              <w:rPr>
                <w:rFonts w:ascii="Arial" w:hAnsi="Arial" w:cs="Arial"/>
              </w:rPr>
              <w:t>subepiteliais</w:t>
            </w:r>
            <w:proofErr w:type="spellEnd"/>
            <w:r w:rsidRPr="00AC2CA6">
              <w:rPr>
                <w:rFonts w:ascii="Arial" w:hAnsi="Arial" w:cs="Arial"/>
              </w:rPr>
              <w:t xml:space="preserve">, onde se considera que representem a ligação de </w:t>
            </w:r>
            <w:proofErr w:type="spellStart"/>
            <w:r w:rsidRPr="00AC2CA6">
              <w:rPr>
                <w:rFonts w:ascii="Arial" w:hAnsi="Arial" w:cs="Arial"/>
              </w:rPr>
              <w:t>autoanticorpo</w:t>
            </w:r>
            <w:proofErr w:type="spellEnd"/>
            <w:r w:rsidRPr="00AC2CA6">
              <w:rPr>
                <w:rFonts w:ascii="Arial" w:hAnsi="Arial" w:cs="Arial"/>
              </w:rPr>
              <w:t xml:space="preserve"> a um </w:t>
            </w:r>
            <w:r w:rsidRPr="00AC2CA6">
              <w:rPr>
                <w:rFonts w:ascii="Arial" w:hAnsi="Arial" w:cs="Arial"/>
              </w:rPr>
              <w:t xml:space="preserve">antígeno </w:t>
            </w:r>
            <w:proofErr w:type="spellStart"/>
            <w:r w:rsidRPr="00AC2CA6">
              <w:rPr>
                <w:rFonts w:ascii="Arial" w:hAnsi="Arial" w:cs="Arial"/>
              </w:rPr>
              <w:t>podocitário</w:t>
            </w:r>
            <w:proofErr w:type="spellEnd"/>
            <w:r w:rsidRPr="00AC2CA6">
              <w:rPr>
                <w:rFonts w:ascii="Arial" w:hAnsi="Arial" w:cs="Arial"/>
              </w:rPr>
              <w:t xml:space="preserve"> intrínseco</w:t>
            </w:r>
            <w:r w:rsidRPr="00AC2CA6">
              <w:rPr>
                <w:rFonts w:ascii="Arial" w:hAnsi="Arial" w:cs="Arial"/>
              </w:rPr>
              <w:t xml:space="preserve">. Esse antígeno é identificado como o receptor tipo M da </w:t>
            </w:r>
            <w:proofErr w:type="spellStart"/>
            <w:r w:rsidRPr="00AC2CA6">
              <w:rPr>
                <w:rFonts w:ascii="Arial" w:hAnsi="Arial" w:cs="Arial"/>
              </w:rPr>
              <w:t>fosfolipase</w:t>
            </w:r>
            <w:proofErr w:type="spellEnd"/>
            <w:r w:rsidRPr="00AC2CA6">
              <w:rPr>
                <w:rFonts w:ascii="Arial" w:hAnsi="Arial" w:cs="Arial"/>
              </w:rPr>
              <w:t xml:space="preserve"> A</w:t>
            </w:r>
            <w:r w:rsidRPr="00AC2CA6">
              <w:rPr>
                <w:rStyle w:val="subscrito"/>
                <w:rFonts w:ascii="Arial" w:hAnsi="Arial" w:cs="Arial"/>
              </w:rPr>
              <w:t>2 </w:t>
            </w:r>
            <w:r w:rsidRPr="00AC2CA6">
              <w:rPr>
                <w:rFonts w:ascii="Arial" w:hAnsi="Arial" w:cs="Arial"/>
              </w:rPr>
              <w:t>(PLA</w:t>
            </w:r>
            <w:r w:rsidRPr="00AC2CA6">
              <w:rPr>
                <w:rStyle w:val="subscrito"/>
                <w:rFonts w:ascii="Arial" w:hAnsi="Arial" w:cs="Arial"/>
              </w:rPr>
              <w:t>2</w:t>
            </w:r>
            <w:r w:rsidRPr="00AC2CA6">
              <w:rPr>
                <w:rFonts w:ascii="Arial" w:hAnsi="Arial" w:cs="Arial"/>
              </w:rPr>
              <w:t xml:space="preserve">R) em até 70% dos casos de NM </w:t>
            </w:r>
            <w:proofErr w:type="gramStart"/>
            <w:r w:rsidRPr="00AC2CA6">
              <w:rPr>
                <w:rFonts w:ascii="Arial" w:hAnsi="Arial" w:cs="Arial"/>
              </w:rPr>
              <w:t>idiopática.</w:t>
            </w:r>
            <w:proofErr w:type="gramEnd"/>
            <w:r w:rsidRPr="00AC2CA6">
              <w:rPr>
                <w:rStyle w:val="sobrescrito"/>
                <w:rFonts w:ascii="Arial" w:hAnsi="Arial" w:cs="Arial"/>
              </w:rPr>
              <w:t>18</w:t>
            </w:r>
            <w:r w:rsidRPr="00AC2CA6">
              <w:rPr>
                <w:rFonts w:ascii="Arial" w:hAnsi="Arial" w:cs="Arial"/>
              </w:rPr>
              <w:t> Anticorpos contra o PLA</w:t>
            </w:r>
            <w:r w:rsidRPr="00AC2CA6">
              <w:rPr>
                <w:rStyle w:val="subscrito"/>
                <w:rFonts w:ascii="Arial" w:hAnsi="Arial" w:cs="Arial"/>
              </w:rPr>
              <w:t>2</w:t>
            </w:r>
            <w:r w:rsidRPr="00AC2CA6">
              <w:rPr>
                <w:rFonts w:ascii="Arial" w:hAnsi="Arial" w:cs="Arial"/>
              </w:rPr>
              <w:t xml:space="preserve">R são específicos para NM e estão disponíveis como teste diagnóstico nos Estados Unidos ou em outros lugares. O </w:t>
            </w:r>
            <w:proofErr w:type="gramStart"/>
            <w:r w:rsidRPr="00AC2CA6">
              <w:rPr>
                <w:rFonts w:ascii="Arial" w:hAnsi="Arial" w:cs="Arial"/>
              </w:rPr>
              <w:t>anti-PLA</w:t>
            </w:r>
            <w:r w:rsidRPr="00AC2CA6">
              <w:rPr>
                <w:rStyle w:val="subscrito"/>
                <w:rFonts w:ascii="Arial" w:hAnsi="Arial" w:cs="Arial"/>
              </w:rPr>
              <w:t>2</w:t>
            </w:r>
            <w:r w:rsidRPr="00AC2CA6">
              <w:rPr>
                <w:rFonts w:ascii="Arial" w:hAnsi="Arial" w:cs="Arial"/>
              </w:rPr>
              <w:t>R</w:t>
            </w:r>
            <w:proofErr w:type="gramEnd"/>
            <w:r w:rsidRPr="00AC2CA6">
              <w:rPr>
                <w:rFonts w:ascii="Arial" w:hAnsi="Arial" w:cs="Arial"/>
              </w:rPr>
              <w:t xml:space="preserve"> circulante reflete a atividade imunológica da doença e pode ser útil para monitorar o curso clínico, incluindo resposta do paciente ao tratamento. Outros </w:t>
            </w:r>
            <w:proofErr w:type="spellStart"/>
            <w:r w:rsidRPr="00AC2CA6">
              <w:rPr>
                <w:rFonts w:ascii="Arial" w:hAnsi="Arial" w:cs="Arial"/>
              </w:rPr>
              <w:t>autoanticorpos</w:t>
            </w:r>
            <w:proofErr w:type="spellEnd"/>
            <w:r w:rsidRPr="00AC2CA6">
              <w:rPr>
                <w:rFonts w:ascii="Arial" w:hAnsi="Arial" w:cs="Arial"/>
              </w:rPr>
              <w:t xml:space="preserve"> também foram descobertos. Na NM neonatal, na qual a mãe tem a falta genética da </w:t>
            </w:r>
            <w:proofErr w:type="spellStart"/>
            <w:r w:rsidRPr="00AC2CA6">
              <w:rPr>
                <w:rFonts w:ascii="Arial" w:hAnsi="Arial" w:cs="Arial"/>
              </w:rPr>
              <w:t>endopeptidase</w:t>
            </w:r>
            <w:proofErr w:type="spellEnd"/>
            <w:r w:rsidRPr="00AC2CA6">
              <w:rPr>
                <w:rFonts w:ascii="Arial" w:hAnsi="Arial" w:cs="Arial"/>
              </w:rPr>
              <w:t xml:space="preserve"> neutra (NEP), pode ocorrer </w:t>
            </w:r>
            <w:proofErr w:type="gramStart"/>
            <w:r w:rsidRPr="00AC2CA6">
              <w:rPr>
                <w:rFonts w:ascii="Arial" w:hAnsi="Arial" w:cs="Arial"/>
              </w:rPr>
              <w:t>a</w:t>
            </w:r>
            <w:proofErr w:type="gramEnd"/>
            <w:r w:rsidRPr="00AC2CA6">
              <w:rPr>
                <w:rFonts w:ascii="Arial" w:hAnsi="Arial" w:cs="Arial"/>
              </w:rPr>
              <w:t xml:space="preserve"> transferência materna do anticorpo NEP, resultando em NM na criança. Outro antígeno que pode causar algumas formas de NM na infância é a albumina sérica bovina (ASB); formas catiônicas de ASB podem primeiramente se localizar no espaço </w:t>
            </w:r>
            <w:proofErr w:type="spellStart"/>
            <w:r w:rsidRPr="00AC2CA6">
              <w:rPr>
                <w:rFonts w:ascii="Arial" w:hAnsi="Arial" w:cs="Arial"/>
              </w:rPr>
              <w:t>subepitelial</w:t>
            </w:r>
            <w:proofErr w:type="spellEnd"/>
            <w:r w:rsidRPr="00AC2CA6">
              <w:rPr>
                <w:rFonts w:ascii="Arial" w:hAnsi="Arial" w:cs="Arial"/>
              </w:rPr>
              <w:t xml:space="preserve">, seguidas pela ligação do </w:t>
            </w:r>
            <w:proofErr w:type="gramStart"/>
            <w:r w:rsidRPr="00AC2CA6">
              <w:rPr>
                <w:rFonts w:ascii="Arial" w:hAnsi="Arial" w:cs="Arial"/>
              </w:rPr>
              <w:t>autoanticorpo.</w:t>
            </w:r>
            <w:proofErr w:type="gramEnd"/>
            <w:r w:rsidRPr="00AC2CA6">
              <w:rPr>
                <w:rStyle w:val="sobrescrito"/>
                <w:rFonts w:ascii="Arial" w:hAnsi="Arial" w:cs="Arial"/>
              </w:rPr>
              <w:t>19 </w:t>
            </w:r>
            <w:r w:rsidRPr="00AC2CA6">
              <w:rPr>
                <w:rFonts w:ascii="Arial" w:hAnsi="Arial" w:cs="Arial"/>
              </w:rPr>
              <w:t xml:space="preserve">Alguns casos de NM podem também ser causados por </w:t>
            </w:r>
            <w:proofErr w:type="spellStart"/>
            <w:r w:rsidRPr="00AC2CA6">
              <w:rPr>
                <w:rFonts w:ascii="Arial" w:hAnsi="Arial" w:cs="Arial"/>
              </w:rPr>
              <w:t>imunocomplexos</w:t>
            </w:r>
            <w:proofErr w:type="spellEnd"/>
            <w:r w:rsidRPr="00AC2CA6">
              <w:rPr>
                <w:rFonts w:ascii="Arial" w:hAnsi="Arial" w:cs="Arial"/>
              </w:rPr>
              <w:t xml:space="preserve"> com baixa avidez, que podem se dissociar e depois serem novamente formados no espaço </w:t>
            </w:r>
            <w:proofErr w:type="spellStart"/>
            <w:r w:rsidRPr="00AC2CA6">
              <w:rPr>
                <w:rFonts w:ascii="Arial" w:hAnsi="Arial" w:cs="Arial"/>
              </w:rPr>
              <w:t>subepitelial</w:t>
            </w:r>
            <w:proofErr w:type="spellEnd"/>
            <w:r w:rsidRPr="00AC2CA6">
              <w:rPr>
                <w:rFonts w:ascii="Arial" w:hAnsi="Arial" w:cs="Arial"/>
              </w:rPr>
              <w:t>; esse pode ser o mecanismo de algumas NM causadas por vírus tais como o HBV.</w:t>
            </w:r>
          </w:p>
          <w:p w:rsidR="00AC2CA6" w:rsidRPr="00AC2CA6" w:rsidRDefault="00AC2CA6" w:rsidP="00AC2CA6">
            <w:pPr>
              <w:pStyle w:val="corpo"/>
              <w:spacing w:before="0" w:beforeAutospacing="0" w:after="0" w:afterAutospacing="0"/>
              <w:ind w:firstLine="21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>É interessante notar que muitos casos de NM causados pelos anticorpos anti-PLA</w:t>
            </w:r>
            <w:r w:rsidRPr="00AC2CA6">
              <w:rPr>
                <w:rStyle w:val="subscrito"/>
                <w:rFonts w:ascii="Arial" w:hAnsi="Arial" w:cs="Arial"/>
              </w:rPr>
              <w:t>2</w:t>
            </w:r>
            <w:r w:rsidRPr="00AC2CA6">
              <w:rPr>
                <w:rFonts w:ascii="Arial" w:hAnsi="Arial" w:cs="Arial"/>
              </w:rPr>
              <w:t xml:space="preserve">R estão associados à deposição de </w:t>
            </w:r>
            <w:proofErr w:type="gramStart"/>
            <w:r w:rsidRPr="00AC2CA6">
              <w:rPr>
                <w:rFonts w:ascii="Arial" w:hAnsi="Arial" w:cs="Arial"/>
              </w:rPr>
              <w:t>IgG4</w:t>
            </w:r>
            <w:proofErr w:type="gramEnd"/>
            <w:r w:rsidRPr="00AC2CA6">
              <w:rPr>
                <w:rFonts w:ascii="Arial" w:hAnsi="Arial" w:cs="Arial"/>
              </w:rPr>
              <w:t xml:space="preserve">, que é uma </w:t>
            </w:r>
            <w:proofErr w:type="spellStart"/>
            <w:r w:rsidRPr="00AC2CA6">
              <w:rPr>
                <w:rFonts w:ascii="Arial" w:hAnsi="Arial" w:cs="Arial"/>
              </w:rPr>
              <w:t>isoforma</w:t>
            </w:r>
            <w:proofErr w:type="spellEnd"/>
            <w:r w:rsidRPr="00AC2CA6">
              <w:rPr>
                <w:rFonts w:ascii="Arial" w:hAnsi="Arial" w:cs="Arial"/>
              </w:rPr>
              <w:t xml:space="preserve"> da </w:t>
            </w:r>
            <w:proofErr w:type="spellStart"/>
            <w:r w:rsidRPr="00AC2CA6">
              <w:rPr>
                <w:rFonts w:ascii="Arial" w:hAnsi="Arial" w:cs="Arial"/>
              </w:rPr>
              <w:t>IgG</w:t>
            </w:r>
            <w:proofErr w:type="spellEnd"/>
            <w:r w:rsidRPr="00AC2CA6">
              <w:rPr>
                <w:rFonts w:ascii="Arial" w:hAnsi="Arial" w:cs="Arial"/>
              </w:rPr>
              <w:t xml:space="preserve"> que não ativa a via clássica do complemento. Entretanto, há evidências de que o complexo </w:t>
            </w:r>
            <w:proofErr w:type="gramStart"/>
            <w:r w:rsidRPr="00AC2CA6">
              <w:rPr>
                <w:rFonts w:ascii="Arial" w:hAnsi="Arial" w:cs="Arial"/>
              </w:rPr>
              <w:t>IgG4</w:t>
            </w:r>
            <w:proofErr w:type="gramEnd"/>
            <w:r w:rsidRPr="00AC2CA6">
              <w:rPr>
                <w:rFonts w:ascii="Arial" w:hAnsi="Arial" w:cs="Arial"/>
              </w:rPr>
              <w:t>-PLA</w:t>
            </w:r>
            <w:r w:rsidRPr="00AC2CA6">
              <w:rPr>
                <w:rStyle w:val="subscrito"/>
                <w:rFonts w:ascii="Arial" w:hAnsi="Arial" w:cs="Arial"/>
              </w:rPr>
              <w:t>2</w:t>
            </w:r>
            <w:r w:rsidRPr="00AC2CA6">
              <w:rPr>
                <w:rFonts w:ascii="Arial" w:hAnsi="Arial" w:cs="Arial"/>
              </w:rPr>
              <w:t xml:space="preserve"> pode ativar o complemento através da via MBL resultando em produção local do complexo de ataque à membrana (C5b-9), que pode se inserir no </w:t>
            </w:r>
            <w:proofErr w:type="spellStart"/>
            <w:r w:rsidRPr="00AC2CA6">
              <w:rPr>
                <w:rFonts w:ascii="Arial" w:hAnsi="Arial" w:cs="Arial"/>
              </w:rPr>
              <w:t>podócito</w:t>
            </w:r>
            <w:proofErr w:type="spellEnd"/>
            <w:r w:rsidRPr="00AC2CA6">
              <w:rPr>
                <w:rFonts w:ascii="Arial" w:hAnsi="Arial" w:cs="Arial"/>
              </w:rPr>
              <w:t xml:space="preserve">, causando ativação, lesão e </w:t>
            </w:r>
            <w:proofErr w:type="spellStart"/>
            <w:r w:rsidRPr="00AC2CA6">
              <w:rPr>
                <w:rFonts w:ascii="Arial" w:hAnsi="Arial" w:cs="Arial"/>
              </w:rPr>
              <w:t>proteinúria</w:t>
            </w:r>
            <w:proofErr w:type="spellEnd"/>
            <w:r w:rsidRPr="00AC2CA6">
              <w:rPr>
                <w:rFonts w:ascii="Arial" w:hAnsi="Arial" w:cs="Arial"/>
              </w:rPr>
              <w:t>.</w:t>
            </w:r>
          </w:p>
          <w:p w:rsidR="00AC2CA6" w:rsidRPr="00AC2CA6" w:rsidRDefault="00AC2CA6" w:rsidP="00AC2CA6">
            <w:pPr>
              <w:pStyle w:val="t2"/>
              <w:spacing w:before="336" w:beforeAutospacing="0" w:after="72" w:afterAutospacing="0"/>
              <w:rPr>
                <w:rFonts w:ascii="Arial" w:hAnsi="Arial" w:cs="Arial"/>
                <w:b/>
                <w:bCs/>
              </w:rPr>
            </w:pPr>
            <w:proofErr w:type="spellStart"/>
            <w:r w:rsidRPr="00AC2CA6">
              <w:rPr>
                <w:rFonts w:ascii="Arial" w:hAnsi="Arial" w:cs="Arial"/>
                <w:b/>
                <w:bCs/>
              </w:rPr>
              <w:t>Glomerulonefrite</w:t>
            </w:r>
            <w:proofErr w:type="spellEnd"/>
            <w:r w:rsidRPr="00AC2CA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C2CA6">
              <w:rPr>
                <w:rFonts w:ascii="Arial" w:hAnsi="Arial" w:cs="Arial"/>
                <w:b/>
                <w:bCs/>
              </w:rPr>
              <w:t>Membranoproliferativa</w:t>
            </w:r>
            <w:proofErr w:type="spellEnd"/>
          </w:p>
          <w:p w:rsidR="00AC2CA6" w:rsidRPr="00AC2CA6" w:rsidRDefault="00AC2CA6" w:rsidP="00AC2CA6">
            <w:pPr>
              <w:pStyle w:val="corposem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Na GNMP tipo I, os depósitos imunes localizam-se tanto no </w:t>
            </w:r>
            <w:proofErr w:type="spellStart"/>
            <w:r w:rsidRPr="00AC2CA6">
              <w:rPr>
                <w:rFonts w:ascii="Arial" w:hAnsi="Arial" w:cs="Arial"/>
              </w:rPr>
              <w:t>mesângio</w:t>
            </w:r>
            <w:proofErr w:type="spellEnd"/>
            <w:r w:rsidRPr="00AC2CA6">
              <w:rPr>
                <w:rFonts w:ascii="Arial" w:hAnsi="Arial" w:cs="Arial"/>
              </w:rPr>
              <w:t> </w:t>
            </w:r>
            <w:r w:rsidRPr="00AC2CA6">
              <w:rPr>
                <w:rFonts w:ascii="Arial" w:hAnsi="Arial" w:cs="Arial"/>
              </w:rPr>
              <w:t>quanto no espaço subendotelial.</w:t>
            </w:r>
            <w:r w:rsidRPr="00AC2CA6">
              <w:rPr>
                <w:rFonts w:ascii="Arial" w:hAnsi="Arial" w:cs="Arial"/>
              </w:rPr>
              <w:t xml:space="preserve"> Um padrão similar é observado na GN </w:t>
            </w:r>
            <w:proofErr w:type="spellStart"/>
            <w:r w:rsidRPr="00AC2CA6">
              <w:rPr>
                <w:rFonts w:ascii="Arial" w:hAnsi="Arial" w:cs="Arial"/>
              </w:rPr>
              <w:t>crioglobulinêmica</w:t>
            </w:r>
            <w:proofErr w:type="spellEnd"/>
            <w:r w:rsidRPr="00AC2CA6">
              <w:rPr>
                <w:rFonts w:ascii="Arial" w:hAnsi="Arial" w:cs="Arial"/>
              </w:rPr>
              <w:t xml:space="preserve">, em que uma </w:t>
            </w:r>
            <w:proofErr w:type="spellStart"/>
            <w:proofErr w:type="gramStart"/>
            <w:r w:rsidRPr="00AC2CA6">
              <w:rPr>
                <w:rFonts w:ascii="Arial" w:hAnsi="Arial" w:cs="Arial"/>
              </w:rPr>
              <w:t>IgM</w:t>
            </w:r>
            <w:proofErr w:type="spellEnd"/>
            <w:proofErr w:type="gramEnd"/>
            <w:r w:rsidRPr="00AC2CA6">
              <w:rPr>
                <w:rFonts w:ascii="Arial" w:hAnsi="Arial" w:cs="Arial"/>
              </w:rPr>
              <w:t xml:space="preserve"> monoclonal ou </w:t>
            </w:r>
            <w:proofErr w:type="spellStart"/>
            <w:r w:rsidRPr="00AC2CA6">
              <w:rPr>
                <w:rFonts w:ascii="Arial" w:hAnsi="Arial" w:cs="Arial"/>
              </w:rPr>
              <w:t>IgM</w:t>
            </w:r>
            <w:proofErr w:type="spellEnd"/>
            <w:r w:rsidRPr="00AC2CA6">
              <w:rPr>
                <w:rFonts w:ascii="Arial" w:hAnsi="Arial" w:cs="Arial"/>
              </w:rPr>
              <w:t xml:space="preserve"> </w:t>
            </w:r>
            <w:proofErr w:type="spellStart"/>
            <w:r w:rsidRPr="00AC2CA6">
              <w:rPr>
                <w:rFonts w:ascii="Arial" w:hAnsi="Arial" w:cs="Arial"/>
              </w:rPr>
              <w:t>policlonal</w:t>
            </w:r>
            <w:proofErr w:type="spellEnd"/>
            <w:r w:rsidRPr="00AC2CA6">
              <w:rPr>
                <w:rFonts w:ascii="Arial" w:hAnsi="Arial" w:cs="Arial"/>
              </w:rPr>
              <w:t xml:space="preserve"> atua como o fator reumatoide através da ligação à </w:t>
            </w:r>
            <w:proofErr w:type="spellStart"/>
            <w:r w:rsidRPr="00AC2CA6">
              <w:rPr>
                <w:rFonts w:ascii="Arial" w:hAnsi="Arial" w:cs="Arial"/>
              </w:rPr>
              <w:t>IgG</w:t>
            </w:r>
            <w:proofErr w:type="spellEnd"/>
            <w:r w:rsidRPr="00AC2CA6">
              <w:rPr>
                <w:rFonts w:ascii="Arial" w:hAnsi="Arial" w:cs="Arial"/>
              </w:rPr>
              <w:t xml:space="preserve"> ao </w:t>
            </w:r>
            <w:proofErr w:type="spellStart"/>
            <w:r w:rsidRPr="00AC2CA6">
              <w:rPr>
                <w:rFonts w:ascii="Arial" w:hAnsi="Arial" w:cs="Arial"/>
              </w:rPr>
              <w:t>imunocomplexo</w:t>
            </w:r>
            <w:proofErr w:type="spellEnd"/>
            <w:r w:rsidRPr="00AC2CA6">
              <w:rPr>
                <w:rFonts w:ascii="Arial" w:hAnsi="Arial" w:cs="Arial"/>
              </w:rPr>
              <w:t xml:space="preserve">. Em ambos os casos, acredita-se que a doença ocorre por deposição passiva de </w:t>
            </w:r>
            <w:proofErr w:type="spellStart"/>
            <w:r w:rsidRPr="00AC2CA6">
              <w:rPr>
                <w:rFonts w:ascii="Arial" w:hAnsi="Arial" w:cs="Arial"/>
              </w:rPr>
              <w:t>imunocomplexos</w:t>
            </w:r>
            <w:proofErr w:type="spellEnd"/>
            <w:r w:rsidRPr="00AC2CA6">
              <w:rPr>
                <w:rFonts w:ascii="Arial" w:hAnsi="Arial" w:cs="Arial"/>
              </w:rPr>
              <w:t xml:space="preserve"> vindos da circulação, e, em geral, o antígeno é componente do vírus HCV, especialmente em adultos. Quando esse padrão é visto na nefrite </w:t>
            </w:r>
            <w:proofErr w:type="spellStart"/>
            <w:r w:rsidRPr="00AC2CA6">
              <w:rPr>
                <w:rFonts w:ascii="Arial" w:hAnsi="Arial" w:cs="Arial"/>
              </w:rPr>
              <w:t>lúpica</w:t>
            </w:r>
            <w:proofErr w:type="spellEnd"/>
            <w:r w:rsidRPr="00AC2CA6">
              <w:rPr>
                <w:rFonts w:ascii="Arial" w:hAnsi="Arial" w:cs="Arial"/>
              </w:rPr>
              <w:t xml:space="preserve">, pode ser facilitado pela ligação de </w:t>
            </w:r>
            <w:proofErr w:type="spellStart"/>
            <w:r w:rsidRPr="00AC2CA6">
              <w:rPr>
                <w:rFonts w:ascii="Arial" w:hAnsi="Arial" w:cs="Arial"/>
              </w:rPr>
              <w:t>nucleossomos</w:t>
            </w:r>
            <w:proofErr w:type="spellEnd"/>
            <w:r w:rsidRPr="00AC2CA6">
              <w:rPr>
                <w:rFonts w:ascii="Arial" w:hAnsi="Arial" w:cs="Arial"/>
              </w:rPr>
              <w:t xml:space="preserve"> aos complexos imunes. Os </w:t>
            </w:r>
            <w:proofErr w:type="spellStart"/>
            <w:r w:rsidRPr="00AC2CA6">
              <w:rPr>
                <w:rStyle w:val="nfase"/>
                <w:rFonts w:ascii="Arial" w:hAnsi="Arial" w:cs="Arial"/>
              </w:rPr>
              <w:t>nucleossomos</w:t>
            </w:r>
            <w:proofErr w:type="spellEnd"/>
            <w:r w:rsidRPr="00AC2CA6">
              <w:rPr>
                <w:rFonts w:ascii="Arial" w:hAnsi="Arial" w:cs="Arial"/>
              </w:rPr>
              <w:t> são proteínas catiônicas nucleares que podem interagir com proteínas carregadas negativamente dentro do glomérulo.</w:t>
            </w:r>
          </w:p>
          <w:p w:rsidR="00AC2CA6" w:rsidRPr="00AC2CA6" w:rsidRDefault="00AC2CA6" w:rsidP="00AC2CA6">
            <w:pPr>
              <w:pStyle w:val="corpo"/>
              <w:spacing w:before="0" w:beforeAutospacing="0" w:after="0" w:afterAutospacing="0"/>
              <w:ind w:firstLine="210"/>
              <w:jc w:val="both"/>
              <w:rPr>
                <w:rFonts w:ascii="Arial" w:hAnsi="Arial" w:cs="Arial"/>
              </w:rPr>
            </w:pPr>
            <w:r w:rsidRPr="00AC2CA6">
              <w:rPr>
                <w:rFonts w:ascii="Arial" w:hAnsi="Arial" w:cs="Arial"/>
              </w:rPr>
              <w:t xml:space="preserve">Estudos em modelos experimentais sugerem que os </w:t>
            </w:r>
            <w:proofErr w:type="spellStart"/>
            <w:r w:rsidRPr="00AC2CA6">
              <w:rPr>
                <w:rFonts w:ascii="Arial" w:hAnsi="Arial" w:cs="Arial"/>
              </w:rPr>
              <w:t>imunocomplexos</w:t>
            </w:r>
            <w:proofErr w:type="spellEnd"/>
            <w:r w:rsidRPr="00AC2CA6">
              <w:rPr>
                <w:rFonts w:ascii="Arial" w:hAnsi="Arial" w:cs="Arial"/>
              </w:rPr>
              <w:t xml:space="preserve"> </w:t>
            </w:r>
            <w:proofErr w:type="spellStart"/>
            <w:r w:rsidRPr="00AC2CA6">
              <w:rPr>
                <w:rFonts w:ascii="Arial" w:hAnsi="Arial" w:cs="Arial"/>
              </w:rPr>
              <w:t>intraglomerulares</w:t>
            </w:r>
            <w:proofErr w:type="spellEnd"/>
            <w:r w:rsidRPr="00AC2CA6">
              <w:rPr>
                <w:rFonts w:ascii="Arial" w:hAnsi="Arial" w:cs="Arial"/>
              </w:rPr>
              <w:t xml:space="preserve"> causam ativação local do complemento com a geração de fatores quimiotáticos, incluindo C5a, </w:t>
            </w:r>
            <w:proofErr w:type="spellStart"/>
            <w:r w:rsidRPr="00AC2CA6">
              <w:rPr>
                <w:rFonts w:ascii="Arial" w:hAnsi="Arial" w:cs="Arial"/>
              </w:rPr>
              <w:t>quimiocinas</w:t>
            </w:r>
            <w:proofErr w:type="spellEnd"/>
            <w:r w:rsidRPr="00AC2CA6">
              <w:rPr>
                <w:rFonts w:ascii="Arial" w:hAnsi="Arial" w:cs="Arial"/>
              </w:rPr>
              <w:t xml:space="preserve"> e </w:t>
            </w:r>
            <w:proofErr w:type="spellStart"/>
            <w:r w:rsidRPr="00AC2CA6">
              <w:rPr>
                <w:rFonts w:ascii="Arial" w:hAnsi="Arial" w:cs="Arial"/>
              </w:rPr>
              <w:t>leucotrienos</w:t>
            </w:r>
            <w:proofErr w:type="spellEnd"/>
            <w:r w:rsidRPr="00AC2CA6">
              <w:rPr>
                <w:rFonts w:ascii="Arial" w:hAnsi="Arial" w:cs="Arial"/>
              </w:rPr>
              <w:t xml:space="preserve">. Moléculas de adesão leucocitária nas células endoteliais estão </w:t>
            </w:r>
            <w:proofErr w:type="spellStart"/>
            <w:r w:rsidRPr="00AC2CA6">
              <w:rPr>
                <w:rFonts w:ascii="Arial" w:hAnsi="Arial" w:cs="Arial"/>
              </w:rPr>
              <w:t>suprarreguladas</w:t>
            </w:r>
            <w:proofErr w:type="spellEnd"/>
            <w:r w:rsidRPr="00AC2CA6">
              <w:rPr>
                <w:rFonts w:ascii="Arial" w:hAnsi="Arial" w:cs="Arial"/>
              </w:rPr>
              <w:t xml:space="preserve"> (molécula de adesão intracelular </w:t>
            </w:r>
            <w:proofErr w:type="gramStart"/>
            <w:r w:rsidRPr="00AC2CA6">
              <w:rPr>
                <w:rFonts w:ascii="Arial" w:hAnsi="Arial" w:cs="Arial"/>
              </w:rPr>
              <w:t>1</w:t>
            </w:r>
            <w:proofErr w:type="gramEnd"/>
            <w:r w:rsidRPr="00AC2CA6">
              <w:rPr>
                <w:rFonts w:ascii="Arial" w:hAnsi="Arial" w:cs="Arial"/>
              </w:rPr>
              <w:t>) ou expressadas </w:t>
            </w:r>
            <w:r w:rsidRPr="00AC2CA6">
              <w:rPr>
                <w:rStyle w:val="nfase"/>
                <w:rFonts w:ascii="Arial" w:hAnsi="Arial" w:cs="Arial"/>
              </w:rPr>
              <w:t>de novo </w:t>
            </w:r>
            <w:r w:rsidRPr="00AC2CA6">
              <w:rPr>
                <w:rFonts w:ascii="Arial" w:hAnsi="Arial" w:cs="Arial"/>
              </w:rPr>
              <w:t>(E- e P-</w:t>
            </w:r>
            <w:proofErr w:type="spellStart"/>
            <w:r w:rsidRPr="00AC2CA6">
              <w:rPr>
                <w:rFonts w:ascii="Arial" w:hAnsi="Arial" w:cs="Arial"/>
              </w:rPr>
              <w:t>selectina</w:t>
            </w:r>
            <w:proofErr w:type="spellEnd"/>
            <w:r w:rsidRPr="00AC2CA6">
              <w:rPr>
                <w:rFonts w:ascii="Arial" w:hAnsi="Arial" w:cs="Arial"/>
              </w:rPr>
              <w:t xml:space="preserve">). </w:t>
            </w:r>
            <w:proofErr w:type="spellStart"/>
            <w:r w:rsidRPr="00AC2CA6">
              <w:rPr>
                <w:rFonts w:ascii="Arial" w:hAnsi="Arial" w:cs="Arial"/>
              </w:rPr>
              <w:t>Citocinas</w:t>
            </w:r>
            <w:proofErr w:type="spellEnd"/>
            <w:r w:rsidRPr="00AC2CA6">
              <w:rPr>
                <w:rFonts w:ascii="Arial" w:hAnsi="Arial" w:cs="Arial"/>
              </w:rPr>
              <w:t xml:space="preserve"> pró-inflamatórias (IL-1 e fator de necrose tumoral alfa) são produzidas localmente e aumentam a resposta inflamatória. Neutrófilos, plaquetas e monócitos/macrófago se localizam, então, no glomérulo e liberam </w:t>
            </w:r>
            <w:proofErr w:type="gramStart"/>
            <w:r w:rsidRPr="00AC2CA6">
              <w:rPr>
                <w:rFonts w:ascii="Arial" w:hAnsi="Arial" w:cs="Arial"/>
              </w:rPr>
              <w:t xml:space="preserve">oxidantes, particularmente ácido </w:t>
            </w:r>
            <w:proofErr w:type="spellStart"/>
            <w:r w:rsidRPr="00AC2CA6">
              <w:rPr>
                <w:rFonts w:ascii="Arial" w:hAnsi="Arial" w:cs="Arial"/>
              </w:rPr>
              <w:t>hipo-halogênico</w:t>
            </w:r>
            <w:proofErr w:type="spellEnd"/>
            <w:r w:rsidRPr="00AC2CA6">
              <w:rPr>
                <w:rFonts w:ascii="Arial" w:hAnsi="Arial" w:cs="Arial"/>
              </w:rPr>
              <w:t xml:space="preserve"> gerado pela </w:t>
            </w:r>
            <w:proofErr w:type="spellStart"/>
            <w:r w:rsidRPr="00AC2CA6">
              <w:rPr>
                <w:rFonts w:ascii="Arial" w:hAnsi="Arial" w:cs="Arial"/>
              </w:rPr>
              <w:t>mieloperoxidase</w:t>
            </w:r>
            <w:proofErr w:type="spellEnd"/>
            <w:r w:rsidRPr="00AC2CA6">
              <w:rPr>
                <w:rFonts w:ascii="Arial" w:hAnsi="Arial" w:cs="Arial"/>
              </w:rPr>
              <w:t xml:space="preserve"> dos neutrófilos, e proteases (</w:t>
            </w:r>
            <w:proofErr w:type="spellStart"/>
            <w:r w:rsidRPr="00AC2CA6">
              <w:rPr>
                <w:rFonts w:ascii="Arial" w:hAnsi="Arial" w:cs="Arial"/>
              </w:rPr>
              <w:t>elastase</w:t>
            </w:r>
            <w:proofErr w:type="spellEnd"/>
            <w:r w:rsidRPr="00AC2CA6">
              <w:rPr>
                <w:rFonts w:ascii="Arial" w:hAnsi="Arial" w:cs="Arial"/>
              </w:rPr>
              <w:t xml:space="preserve">, </w:t>
            </w:r>
            <w:proofErr w:type="spellStart"/>
            <w:r w:rsidRPr="00AC2CA6">
              <w:rPr>
                <w:rFonts w:ascii="Arial" w:hAnsi="Arial" w:cs="Arial"/>
              </w:rPr>
              <w:t>catepsina</w:t>
            </w:r>
            <w:proofErr w:type="spellEnd"/>
            <w:r w:rsidRPr="00AC2CA6">
              <w:rPr>
                <w:rFonts w:ascii="Arial" w:hAnsi="Arial" w:cs="Arial"/>
              </w:rPr>
              <w:t xml:space="preserve"> G, </w:t>
            </w:r>
            <w:proofErr w:type="spellStart"/>
            <w:r w:rsidRPr="00AC2CA6">
              <w:rPr>
                <w:rFonts w:ascii="Arial" w:hAnsi="Arial" w:cs="Arial"/>
              </w:rPr>
              <w:t>metaloproteinases</w:t>
            </w:r>
            <w:proofErr w:type="spellEnd"/>
            <w:r w:rsidRPr="00AC2CA6">
              <w:rPr>
                <w:rFonts w:ascii="Arial" w:hAnsi="Arial" w:cs="Arial"/>
              </w:rPr>
              <w:t>) que provocam lesão celular local e degradação da MBG</w:t>
            </w:r>
            <w:proofErr w:type="gramEnd"/>
            <w:r w:rsidRPr="00AC2CA6">
              <w:rPr>
                <w:rFonts w:ascii="Arial" w:hAnsi="Arial" w:cs="Arial"/>
              </w:rPr>
              <w:t>.</w:t>
            </w:r>
          </w:p>
          <w:p w:rsidR="00AC2CA6" w:rsidRPr="00AC2CA6" w:rsidRDefault="00AC2CA6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2CA6" w:rsidRPr="00AC2CA6" w:rsidRDefault="00AC2CA6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"/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7F11CD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  <w:r w:rsidRPr="007F11CD">
        <w:rPr>
          <w:rFonts w:ascii="Arial" w:hAnsi="Arial" w:cs="Arial"/>
          <w:sz w:val="24"/>
          <w:szCs w:val="24"/>
        </w:rPr>
        <w:t>Referências</w:t>
      </w:r>
    </w:p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7F11CD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7F11CD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1CD">
              <w:rPr>
                <w:rFonts w:ascii="Arial" w:hAnsi="Arial" w:cs="Arial"/>
                <w:sz w:val="24"/>
                <w:szCs w:val="24"/>
              </w:rPr>
              <w:t>KUMAR, V; ABBAS, A. K</w:t>
            </w:r>
            <w:proofErr w:type="gramStart"/>
            <w:r w:rsidRPr="007F11CD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  <w:r w:rsidRPr="007F11CD">
              <w:rPr>
                <w:rFonts w:ascii="Arial" w:hAnsi="Arial" w:cs="Arial"/>
                <w:sz w:val="24"/>
                <w:szCs w:val="24"/>
              </w:rPr>
              <w:t xml:space="preserve"> ASTER, J. C. Robbins, patologia básica. Rio de Janeiro: </w:t>
            </w:r>
            <w:proofErr w:type="spellStart"/>
            <w:r w:rsidRPr="007F11C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7F11CD">
              <w:rPr>
                <w:rFonts w:ascii="Arial" w:hAnsi="Arial" w:cs="Arial"/>
                <w:sz w:val="24"/>
                <w:szCs w:val="24"/>
              </w:rPr>
              <w:t xml:space="preserve">, 2013. </w:t>
            </w:r>
          </w:p>
          <w:p w:rsidR="00CF6440" w:rsidRDefault="00CF6440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11CD">
              <w:rPr>
                <w:rFonts w:ascii="Arial" w:hAnsi="Arial" w:cs="Arial"/>
                <w:sz w:val="24"/>
                <w:szCs w:val="24"/>
              </w:rPr>
              <w:t xml:space="preserve">KUMAR, V. </w:t>
            </w:r>
            <w:proofErr w:type="gramStart"/>
            <w:r w:rsidRPr="007F11CD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7F11CD">
              <w:rPr>
                <w:rFonts w:ascii="Arial" w:hAnsi="Arial" w:cs="Arial"/>
                <w:sz w:val="24"/>
                <w:szCs w:val="24"/>
              </w:rPr>
              <w:t xml:space="preserve"> al. Robbins e </w:t>
            </w:r>
            <w:proofErr w:type="spellStart"/>
            <w:r w:rsidRPr="007F11CD">
              <w:rPr>
                <w:rFonts w:ascii="Arial" w:hAnsi="Arial" w:cs="Arial"/>
                <w:sz w:val="24"/>
                <w:szCs w:val="24"/>
              </w:rPr>
              <w:t>Cotran</w:t>
            </w:r>
            <w:proofErr w:type="spellEnd"/>
            <w:r w:rsidRPr="007F11CD">
              <w:rPr>
                <w:rFonts w:ascii="Arial" w:hAnsi="Arial" w:cs="Arial"/>
                <w:sz w:val="24"/>
                <w:szCs w:val="24"/>
              </w:rPr>
              <w:t xml:space="preserve">, bases patológicas das doenças. Rio de Janeiro: </w:t>
            </w:r>
            <w:proofErr w:type="spellStart"/>
            <w:r w:rsidRPr="007F11CD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7F11CD">
              <w:rPr>
                <w:rFonts w:ascii="Arial" w:hAnsi="Arial" w:cs="Arial"/>
                <w:sz w:val="24"/>
                <w:szCs w:val="24"/>
              </w:rPr>
              <w:t>, 2010.</w:t>
            </w:r>
          </w:p>
          <w:p w:rsidR="00BD2CA5" w:rsidRPr="007F11CD" w:rsidRDefault="007F11CD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Johnson J.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et al. </w:t>
            </w:r>
            <w:r w:rsidRPr="007F11CD">
              <w:rPr>
                <w:rFonts w:ascii="Arial" w:hAnsi="Arial" w:cs="Arial"/>
                <w:sz w:val="24"/>
                <w:szCs w:val="24"/>
              </w:rPr>
              <w:t xml:space="preserve">Nefrologia Clínica 5ª </w:t>
            </w:r>
            <w:proofErr w:type="spellStart"/>
            <w:r w:rsidRPr="007F11CD">
              <w:rPr>
                <w:rFonts w:ascii="Arial" w:hAnsi="Arial" w:cs="Arial"/>
                <w:sz w:val="24"/>
                <w:szCs w:val="24"/>
              </w:rPr>
              <w:t>ed</w:t>
            </w:r>
            <w:proofErr w:type="spellEnd"/>
          </w:p>
          <w:p w:rsidR="007F11CD" w:rsidRPr="007F11CD" w:rsidRDefault="007F11CD" w:rsidP="007F11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9B3">
              <w:rPr>
                <w:rFonts w:ascii="Arial" w:hAnsi="Arial" w:cs="Arial"/>
              </w:rPr>
              <w:t xml:space="preserve">GOLDMAN, Lee; AUSIELLO, Dennis. Cecil Medicina Interna. 25. </w:t>
            </w:r>
            <w:proofErr w:type="gramStart"/>
            <w:r w:rsidRPr="004869B3">
              <w:rPr>
                <w:rFonts w:ascii="Arial" w:hAnsi="Arial" w:cs="Arial"/>
              </w:rPr>
              <w:t>ed.</w:t>
            </w:r>
            <w:proofErr w:type="gramEnd"/>
            <w:r w:rsidRPr="004869B3">
              <w:rPr>
                <w:rFonts w:ascii="Arial" w:hAnsi="Arial" w:cs="Arial"/>
              </w:rPr>
              <w:t xml:space="preserve"> </w:t>
            </w:r>
            <w:proofErr w:type="spellStart"/>
            <w:r w:rsidRPr="004869B3">
              <w:rPr>
                <w:rFonts w:ascii="Arial" w:hAnsi="Arial" w:cs="Arial"/>
              </w:rPr>
              <w:t>SaundersElsevier</w:t>
            </w:r>
            <w:proofErr w:type="spellEnd"/>
            <w:r w:rsidRPr="004869B3">
              <w:rPr>
                <w:rFonts w:ascii="Arial" w:hAnsi="Arial" w:cs="Arial"/>
              </w:rPr>
              <w:t>, 2012.</w:t>
            </w:r>
          </w:p>
        </w:tc>
      </w:tr>
    </w:tbl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p w:rsidR="00CF6440" w:rsidRPr="007F11CD" w:rsidRDefault="00CF6440" w:rsidP="007F11CD">
      <w:pPr>
        <w:jc w:val="both"/>
        <w:rPr>
          <w:rFonts w:ascii="Arial" w:hAnsi="Arial" w:cs="Arial"/>
          <w:sz w:val="24"/>
          <w:szCs w:val="24"/>
        </w:rPr>
      </w:pPr>
    </w:p>
    <w:sectPr w:rsidR="00CF6440" w:rsidRPr="007F1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562A5C"/>
    <w:rsid w:val="00662268"/>
    <w:rsid w:val="007F11CD"/>
    <w:rsid w:val="0088189A"/>
    <w:rsid w:val="008A59FD"/>
    <w:rsid w:val="00952087"/>
    <w:rsid w:val="00AC2CA6"/>
    <w:rsid w:val="00BD2CA5"/>
    <w:rsid w:val="00CF6440"/>
    <w:rsid w:val="00C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paragraph" w:customStyle="1" w:styleId="t1">
    <w:name w:val="t1"/>
    <w:basedOn w:val="Normal"/>
    <w:rsid w:val="0095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rsid w:val="0095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sem">
    <w:name w:val="t2_sem"/>
    <w:basedOn w:val="Normal"/>
    <w:rsid w:val="00AC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ersalete">
    <w:name w:val="versalete"/>
    <w:basedOn w:val="Fontepargpadro"/>
    <w:rsid w:val="00AC2CA6"/>
  </w:style>
  <w:style w:type="character" w:customStyle="1" w:styleId="subscrito">
    <w:name w:val="subscrito"/>
    <w:basedOn w:val="Fontepargpadro"/>
    <w:rsid w:val="00AC2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paragraph" w:customStyle="1" w:styleId="t1">
    <w:name w:val="t1"/>
    <w:basedOn w:val="Normal"/>
    <w:rsid w:val="0095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rsid w:val="00952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sem">
    <w:name w:val="t2_sem"/>
    <w:basedOn w:val="Normal"/>
    <w:rsid w:val="00AC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ersalete">
    <w:name w:val="versalete"/>
    <w:basedOn w:val="Fontepargpadro"/>
    <w:rsid w:val="00AC2CA6"/>
  </w:style>
  <w:style w:type="character" w:customStyle="1" w:styleId="subscrito">
    <w:name w:val="subscrito"/>
    <w:basedOn w:val="Fontepargpadro"/>
    <w:rsid w:val="00AC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1583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6</cp:revision>
  <dcterms:created xsi:type="dcterms:W3CDTF">2021-01-26T23:52:00Z</dcterms:created>
  <dcterms:modified xsi:type="dcterms:W3CDTF">2021-01-26T23:53:00Z</dcterms:modified>
</cp:coreProperties>
</file>