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0" w:rsidRPr="006D00FD" w:rsidRDefault="00830B45" w:rsidP="007F11C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D00FD">
        <w:rPr>
          <w:rFonts w:ascii="Arial" w:hAnsi="Arial" w:cs="Arial"/>
          <w:sz w:val="24"/>
          <w:szCs w:val="24"/>
        </w:rPr>
        <w:t xml:space="preserve">AULA </w:t>
      </w:r>
      <w:r w:rsidR="00CF6440" w:rsidRPr="006D00FD">
        <w:rPr>
          <w:rFonts w:ascii="Arial" w:hAnsi="Arial" w:cs="Arial"/>
          <w:sz w:val="24"/>
          <w:szCs w:val="24"/>
        </w:rPr>
        <w:t>:</w:t>
      </w:r>
      <w:proofErr w:type="gramEnd"/>
      <w:r w:rsidRPr="006D00FD">
        <w:rPr>
          <w:rFonts w:ascii="Arial" w:hAnsi="Arial" w:cs="Arial"/>
          <w:sz w:val="24"/>
          <w:szCs w:val="24"/>
        </w:rPr>
        <w:t xml:space="preserve"> Tumores ósseos  </w:t>
      </w:r>
    </w:p>
    <w:p w:rsidR="00CF6440" w:rsidRPr="006D00F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6D00FD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D00FD">
        <w:rPr>
          <w:rFonts w:ascii="Arial" w:hAnsi="Arial" w:cs="Arial"/>
          <w:b/>
          <w:color w:val="FF0000"/>
          <w:sz w:val="24"/>
          <w:szCs w:val="24"/>
        </w:rPr>
        <w:t>Introdução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6D00FD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6D00FD" w:rsidRDefault="00830B45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0FD">
              <w:rPr>
                <w:rFonts w:ascii="Arial" w:hAnsi="Arial" w:cs="Arial"/>
                <w:sz w:val="24"/>
                <w:szCs w:val="24"/>
              </w:rPr>
              <w:t xml:space="preserve">Os tumores ósseos podem se apresentar de várias maneiras. As lesões benignas mais comuns são frequentemente assintomáticas e são achados incidentais. Muitos tumores, no entanto, causam dor ou uma massa de crescimento lento. Em algumas circunstâncias, o primeiro indício da presença de um tumor é uma fratura patológica. Estudos radiográficos têm um papel importante no diagnóstico dessas lesões. Além de fornecerem a localização exata e a extensão do tumor, os estudos de imagem podem detectar características que afunilam as possibilidades de diagnóstico. Em última análise, em quase todos os casos, é necessária biópsia para o diagnóstico definitivo. </w:t>
            </w:r>
          </w:p>
        </w:tc>
      </w:tr>
    </w:tbl>
    <w:p w:rsidR="00CF6440" w:rsidRPr="006D00FD" w:rsidRDefault="00830B45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D00FD">
        <w:rPr>
          <w:rFonts w:ascii="Arial" w:hAnsi="Arial" w:cs="Arial"/>
          <w:b/>
          <w:color w:val="FF0000"/>
          <w:sz w:val="24"/>
          <w:szCs w:val="24"/>
        </w:rPr>
        <w:t xml:space="preserve">. </w:t>
      </w:r>
    </w:p>
    <w:p w:rsidR="00CF6440" w:rsidRPr="006D00FD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D00FD">
        <w:rPr>
          <w:rFonts w:ascii="Arial" w:hAnsi="Arial" w:cs="Arial"/>
          <w:b/>
          <w:color w:val="FF0000"/>
          <w:sz w:val="24"/>
          <w:szCs w:val="24"/>
        </w:rPr>
        <w:t>Objetivos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6D00FD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6D00FD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0FD">
              <w:rPr>
                <w:rFonts w:ascii="Arial" w:hAnsi="Arial" w:cs="Arial"/>
                <w:sz w:val="24"/>
                <w:szCs w:val="24"/>
              </w:rPr>
              <w:tab/>
              <w:t>Neste encontro você deve compreender:</w:t>
            </w:r>
          </w:p>
          <w:p w:rsidR="00CF6440" w:rsidRPr="006D00FD" w:rsidRDefault="00830B45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0FD">
              <w:rPr>
                <w:rFonts w:ascii="Arial" w:hAnsi="Arial" w:cs="Arial"/>
                <w:sz w:val="24"/>
                <w:szCs w:val="24"/>
              </w:rPr>
              <w:t xml:space="preserve">Tipos, manifestação clínica, </w:t>
            </w:r>
            <w:proofErr w:type="gramStart"/>
            <w:r w:rsidRPr="006D00FD">
              <w:rPr>
                <w:rFonts w:ascii="Arial" w:hAnsi="Arial" w:cs="Arial"/>
                <w:sz w:val="24"/>
                <w:szCs w:val="24"/>
              </w:rPr>
              <w:t>diagnóstico</w:t>
            </w:r>
            <w:proofErr w:type="gramEnd"/>
            <w:r w:rsidRPr="006D00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F6440" w:rsidRPr="006D00F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6D00FD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6D00FD">
        <w:rPr>
          <w:rFonts w:ascii="Arial" w:hAnsi="Arial" w:cs="Arial"/>
          <w:b/>
          <w:color w:val="FF0000"/>
          <w:sz w:val="24"/>
          <w:szCs w:val="24"/>
        </w:rPr>
        <w:t xml:space="preserve">Objetivo </w:t>
      </w:r>
      <w:proofErr w:type="gramStart"/>
      <w:r w:rsidRPr="006D00FD">
        <w:rPr>
          <w:rFonts w:ascii="Arial" w:hAnsi="Arial" w:cs="Arial"/>
          <w:b/>
          <w:color w:val="FF0000"/>
          <w:sz w:val="24"/>
          <w:szCs w:val="24"/>
        </w:rPr>
        <w:t>1</w:t>
      </w:r>
      <w:proofErr w:type="gramEnd"/>
      <w:r w:rsidRPr="006D00FD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6D00FD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6440" w:rsidRPr="006D00FD" w:rsidRDefault="00830B45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27402764"/>
            <w:r w:rsidRPr="006D00FD">
              <w:rPr>
                <w:rFonts w:ascii="Arial" w:hAnsi="Arial" w:cs="Arial"/>
                <w:sz w:val="24"/>
                <w:szCs w:val="24"/>
              </w:rPr>
              <w:t xml:space="preserve">Quando possível, os tumores ósseos são classificados de acordo com a célula normal que lhes deu origem ou a matriz que eles produzem. As lesões que não têm contrapartida em tecidos normais são agrupadas de acordo com suas características </w:t>
            </w:r>
            <w:proofErr w:type="spellStart"/>
            <w:r w:rsidR="006367AD" w:rsidRPr="006D00FD">
              <w:rPr>
                <w:rFonts w:ascii="Arial" w:hAnsi="Arial" w:cs="Arial"/>
                <w:sz w:val="24"/>
                <w:szCs w:val="24"/>
              </w:rPr>
              <w:t>clinicopatológicas</w:t>
            </w:r>
            <w:proofErr w:type="spellEnd"/>
            <w:r w:rsidRPr="006D00FD">
              <w:rPr>
                <w:rFonts w:ascii="Arial" w:hAnsi="Arial" w:cs="Arial"/>
                <w:sz w:val="24"/>
                <w:szCs w:val="24"/>
              </w:rPr>
              <w:t xml:space="preserve">. Os tumores benignos ultrapassam enormemente em incidência seus análogos malignos e ocorrem com maior frequência nas </w:t>
            </w:r>
            <w:proofErr w:type="gramStart"/>
            <w:r w:rsidRPr="006D00FD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6D00FD">
              <w:rPr>
                <w:rFonts w:ascii="Arial" w:hAnsi="Arial" w:cs="Arial"/>
                <w:sz w:val="24"/>
                <w:szCs w:val="24"/>
              </w:rPr>
              <w:t xml:space="preserve"> primeiras décadas de vida, enquanto em adultos mais velhos, um tumor ósseo será provavelmente maligno. Excluindo</w:t>
            </w:r>
            <w:r w:rsidRPr="006D00FD">
              <w:rPr>
                <w:rFonts w:ascii="Arial" w:hAnsi="Arial" w:cs="Arial"/>
                <w:sz w:val="24"/>
                <w:szCs w:val="24"/>
              </w:rPr>
              <w:noBreakHyphen/>
              <w:t>se as neoplasias originadas de células hematopoiéticas (</w:t>
            </w:r>
            <w:proofErr w:type="spellStart"/>
            <w:r w:rsidRPr="006D00FD">
              <w:rPr>
                <w:rFonts w:ascii="Arial" w:hAnsi="Arial" w:cs="Arial"/>
                <w:sz w:val="24"/>
                <w:szCs w:val="24"/>
              </w:rPr>
              <w:t>mieloma</w:t>
            </w:r>
            <w:proofErr w:type="spellEnd"/>
            <w:r w:rsidRPr="006D00FD">
              <w:rPr>
                <w:rFonts w:ascii="Arial" w:hAnsi="Arial" w:cs="Arial"/>
                <w:sz w:val="24"/>
                <w:szCs w:val="24"/>
              </w:rPr>
              <w:t xml:space="preserve"> múltiplo, linfoma e leucemia), o </w:t>
            </w:r>
            <w:proofErr w:type="spellStart"/>
            <w:r w:rsidRPr="006D00FD">
              <w:rPr>
                <w:rFonts w:ascii="Arial" w:hAnsi="Arial" w:cs="Arial"/>
                <w:sz w:val="24"/>
                <w:szCs w:val="24"/>
              </w:rPr>
              <w:t>osteossarcoma</w:t>
            </w:r>
            <w:proofErr w:type="spellEnd"/>
            <w:r w:rsidRPr="006D00FD">
              <w:rPr>
                <w:rFonts w:ascii="Arial" w:hAnsi="Arial" w:cs="Arial"/>
                <w:sz w:val="24"/>
                <w:szCs w:val="24"/>
              </w:rPr>
              <w:t xml:space="preserve"> é o câncer primário mais comum do osso, seguido pelo </w:t>
            </w:r>
            <w:proofErr w:type="spellStart"/>
            <w:r w:rsidRPr="006D00FD">
              <w:rPr>
                <w:rFonts w:ascii="Arial" w:hAnsi="Arial" w:cs="Arial"/>
                <w:sz w:val="24"/>
                <w:szCs w:val="24"/>
              </w:rPr>
              <w:t>condrossarcoma</w:t>
            </w:r>
            <w:proofErr w:type="spellEnd"/>
            <w:r w:rsidRPr="006D00FD">
              <w:rPr>
                <w:rFonts w:ascii="Arial" w:hAnsi="Arial" w:cs="Arial"/>
                <w:sz w:val="24"/>
                <w:szCs w:val="24"/>
              </w:rPr>
              <w:t xml:space="preserve"> e o sarcoma de </w:t>
            </w:r>
            <w:proofErr w:type="spellStart"/>
            <w:r w:rsidRPr="006D00FD">
              <w:rPr>
                <w:rFonts w:ascii="Arial" w:hAnsi="Arial" w:cs="Arial"/>
                <w:sz w:val="24"/>
                <w:szCs w:val="24"/>
              </w:rPr>
              <w:t>Ewing</w:t>
            </w:r>
            <w:proofErr w:type="spellEnd"/>
            <w:r w:rsidRPr="006D00F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30B45" w:rsidRPr="006D00FD" w:rsidRDefault="00830B45" w:rsidP="00830B45">
            <w:pPr>
              <w:pStyle w:val="sub2"/>
              <w:spacing w:before="285" w:beforeAutospacing="0" w:after="0" w:afterAutospacing="0"/>
              <w:rPr>
                <w:rFonts w:ascii="Arial" w:hAnsi="Arial" w:cs="Arial"/>
                <w:b/>
                <w:bCs/>
              </w:rPr>
            </w:pPr>
            <w:proofErr w:type="spellStart"/>
            <w:r w:rsidRPr="006D00FD">
              <w:rPr>
                <w:rStyle w:val="bold"/>
                <w:rFonts w:ascii="Arial" w:hAnsi="Arial" w:cs="Arial"/>
                <w:b/>
                <w:bCs/>
              </w:rPr>
              <w:t>Osteoma</w:t>
            </w:r>
            <w:proofErr w:type="spellEnd"/>
          </w:p>
          <w:p w:rsidR="00830B45" w:rsidRPr="006D00FD" w:rsidRDefault="00830B45" w:rsidP="00830B45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é definido como uma neoplasia benigna latente (B1), formadora de tecido ósseo benigno, maduro, bem diferenciado, com uma estrutura laminar e de crescimento lento.</w:t>
            </w:r>
          </w:p>
          <w:p w:rsidR="00830B45" w:rsidRPr="006D00FD" w:rsidRDefault="00830B45" w:rsidP="00830B45">
            <w:pPr>
              <w:pStyle w:val="sub3"/>
              <w:spacing w:before="285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  <w:color w:val="000000"/>
              </w:rPr>
              <w:t>Aspectos Clínicos</w:t>
            </w:r>
          </w:p>
          <w:p w:rsidR="00830B45" w:rsidRPr="006D00FD" w:rsidRDefault="00830B45" w:rsidP="00830B45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É dividido em três tipos:</w:t>
            </w:r>
          </w:p>
          <w:p w:rsidR="00830B45" w:rsidRPr="006D00FD" w:rsidRDefault="00830B45" w:rsidP="00830B45">
            <w:pPr>
              <w:pStyle w:val="normallistparaindent1"/>
              <w:spacing w:before="0" w:beforeAutospacing="0" w:after="0" w:afterAutospacing="0"/>
              <w:ind w:left="330" w:hanging="15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1.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clássico convencional (“exostose de mar</w:t>
            </w:r>
            <w:r w:rsidRPr="006D00FD">
              <w:rPr>
                <w:rFonts w:ascii="Arial" w:hAnsi="Arial" w:cs="Arial"/>
                <w:color w:val="000000"/>
              </w:rPr>
              <w:softHyphen/>
              <w:t xml:space="preserve">fim”). Geralmente assintomático, 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clássico convencional acomete a superfície externa dos ossos de formação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intramembranosa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, preferencialmente ossos do crânio, seios paranasais e maxilares.</w:t>
            </w:r>
          </w:p>
          <w:p w:rsidR="00830B45" w:rsidRPr="006D00FD" w:rsidRDefault="00830B45" w:rsidP="00830B45">
            <w:pPr>
              <w:pStyle w:val="normallistparaindent1"/>
              <w:spacing w:before="0" w:beforeAutospacing="0" w:after="0" w:afterAutospacing="0"/>
              <w:ind w:left="330" w:hanging="15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2.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paraosteal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justacortical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). 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paraosteal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acomete os ossos longos e chatos e se apresenta como uma lesão ossificada séssil localizada na superfície do </w:t>
            </w:r>
            <w:r w:rsidRPr="006D00FD">
              <w:rPr>
                <w:rFonts w:ascii="Arial" w:hAnsi="Arial" w:cs="Arial"/>
                <w:color w:val="000000"/>
              </w:rPr>
              <w:lastRenderedPageBreak/>
              <w:t xml:space="preserve">osso. Nos ossos longos, deve ser diferenciado do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osteossarcoma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paraosteal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tendo em vista seu aspecto densamente ossificado e lobulado.</w:t>
            </w:r>
          </w:p>
          <w:p w:rsidR="00830B45" w:rsidRPr="006D00FD" w:rsidRDefault="00830B45" w:rsidP="00830B45">
            <w:pPr>
              <w:pStyle w:val="normallistparaindent1"/>
              <w:spacing w:before="0" w:beforeAutospacing="0" w:after="0" w:afterAutospacing="0"/>
              <w:ind w:left="330" w:hanging="15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3.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medular (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enostose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). 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intramedular, também chamado de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enostose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ou ilhota óssea, consiste em nódulos densos e bem delimitados, geralmente assintomáticos e com menos de </w:t>
            </w:r>
            <w:proofErr w:type="gramStart"/>
            <w:r w:rsidRPr="006D00FD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6D00FD">
              <w:rPr>
                <w:rFonts w:ascii="Arial" w:hAnsi="Arial" w:cs="Arial"/>
                <w:color w:val="000000"/>
              </w:rPr>
              <w:t xml:space="preserve"> cm. Apesar de ser </w:t>
            </w:r>
            <w:proofErr w:type="gramStart"/>
            <w:r w:rsidRPr="006D00FD">
              <w:rPr>
                <w:rFonts w:ascii="Arial" w:hAnsi="Arial" w:cs="Arial"/>
                <w:color w:val="000000"/>
              </w:rPr>
              <w:t xml:space="preserve">considerado uma lesão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hamartomatosa</w:t>
            </w:r>
            <w:proofErr w:type="spellEnd"/>
            <w:proofErr w:type="gramEnd"/>
            <w:r w:rsidRPr="006D00FD">
              <w:rPr>
                <w:rFonts w:ascii="Arial" w:hAnsi="Arial" w:cs="Arial"/>
                <w:color w:val="000000"/>
              </w:rPr>
              <w:t xml:space="preserve"> sem significância clínica, pode aumentar de tamanho, e, nesses casos, deve ser diferenciado de outros tumores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osteoblásticos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.</w:t>
            </w:r>
          </w:p>
          <w:p w:rsidR="00830B45" w:rsidRPr="006D00FD" w:rsidRDefault="00830B45" w:rsidP="00830B45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A incidência estimada, por tratar-se de uma lesão as</w:t>
            </w:r>
            <w:r w:rsidRPr="006D00FD">
              <w:rPr>
                <w:rFonts w:ascii="Arial" w:hAnsi="Arial" w:cs="Arial"/>
                <w:color w:val="000000"/>
              </w:rPr>
              <w:softHyphen/>
              <w:t>sintomática na maioria dos casos, é de 0,03% dos tumores ósseos primários. Apresentam maior prevalência no sexo feminino (2:1) e acometem indivíduos em qualquer faixa etária.</w:t>
            </w:r>
          </w:p>
          <w:p w:rsidR="00830B45" w:rsidRPr="006D00FD" w:rsidRDefault="00830B45" w:rsidP="00830B45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A síndrome de Gardner é uma entidade hereditária autossômica dominante que se caracteriza por múltiplos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, principalmente nos ossos do crânio, mandíbula e ossos longos, associados a pólipos intestinais,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fibromatose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e cistos cutâneos.</w:t>
            </w:r>
          </w:p>
          <w:p w:rsidR="00830B45" w:rsidRPr="006D00FD" w:rsidRDefault="00830B45" w:rsidP="00830B45">
            <w:pPr>
              <w:pStyle w:val="sub3"/>
              <w:spacing w:before="285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  <w:color w:val="000000"/>
              </w:rPr>
              <w:t>Diagnóstico por Imagem</w:t>
            </w:r>
          </w:p>
          <w:p w:rsidR="00830B45" w:rsidRPr="006D00FD" w:rsidRDefault="00830B45" w:rsidP="00830B45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 aspecto radiográfico caracteriza-se por uma lesão densa e opaca, bem delimitada, lobulada e com menos de </w:t>
            </w:r>
            <w:proofErr w:type="gramStart"/>
            <w:r w:rsidRPr="006D00FD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6D00FD">
              <w:rPr>
                <w:rFonts w:ascii="Arial" w:hAnsi="Arial" w:cs="Arial"/>
                <w:color w:val="000000"/>
              </w:rPr>
              <w:t xml:space="preserve"> cm. Os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de localização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paraosteal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são de tamanho maior, alongados e</w:t>
            </w:r>
            <w:r w:rsidR="006367AD" w:rsidRPr="006D00FD">
              <w:rPr>
                <w:rFonts w:ascii="Arial" w:hAnsi="Arial" w:cs="Arial"/>
                <w:color w:val="000000"/>
              </w:rPr>
              <w:t xml:space="preserve"> lobulados. </w:t>
            </w:r>
          </w:p>
          <w:p w:rsidR="00830B45" w:rsidRPr="006D00FD" w:rsidRDefault="00830B45" w:rsidP="00830B45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Os principais diagnósticos diferenciais são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osteossarcoma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paraosteal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osteocondroma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séssil,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miosite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ossificante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, displasia fibrosa calcificada e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melorreostose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.</w:t>
            </w:r>
          </w:p>
          <w:p w:rsidR="00830B45" w:rsidRPr="006D00FD" w:rsidRDefault="00830B45" w:rsidP="00830B45">
            <w:pPr>
              <w:pStyle w:val="sub3"/>
              <w:spacing w:before="285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  <w:color w:val="000000"/>
              </w:rPr>
              <w:t>Tratamento</w:t>
            </w:r>
          </w:p>
          <w:p w:rsidR="00830B45" w:rsidRPr="006D00FD" w:rsidRDefault="00830B45" w:rsidP="00830B45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Os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em geral são lesões latentes e assintomáticas. O tratamento consiste em acompanhamento clínico, sem necessidade de cirurgia.</w:t>
            </w:r>
          </w:p>
          <w:p w:rsidR="00830B45" w:rsidRPr="006D00FD" w:rsidRDefault="00830B45" w:rsidP="00830B45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 tratamento cirúrgico é indicado em pacientes sintomáticos e com lesões maiores, principalmente naquelas de localização nos seios da face. Nos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paraosteais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dos ossos longos a cirurgia de ressecção marginal está indicada, incluindo a cortical óssea, devido à dificuldade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clinicorradiológica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de se diferenciar do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osteossarcoma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paraosteal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, cujo diagnóstico definitivo é feito com o estudo histopatológico da peça ressecada. O prognóstico é bom e raramente há recidiva local.</w:t>
            </w:r>
          </w:p>
          <w:p w:rsidR="006367AD" w:rsidRPr="006D00FD" w:rsidRDefault="006367AD" w:rsidP="006367AD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</w:rPr>
            </w:pPr>
          </w:p>
          <w:p w:rsidR="006367AD" w:rsidRPr="006D00FD" w:rsidRDefault="006367AD" w:rsidP="006367AD">
            <w:pPr>
              <w:pStyle w:val="sub2"/>
              <w:spacing w:before="285" w:beforeAutospacing="0" w:after="0" w:afterAutospacing="0"/>
              <w:rPr>
                <w:rFonts w:ascii="Arial" w:hAnsi="Arial" w:cs="Arial"/>
                <w:b/>
                <w:bCs/>
              </w:rPr>
            </w:pPr>
            <w:proofErr w:type="spellStart"/>
            <w:r w:rsidRPr="006D00FD">
              <w:rPr>
                <w:rStyle w:val="bold"/>
                <w:rFonts w:ascii="Arial" w:hAnsi="Arial" w:cs="Arial"/>
                <w:b/>
                <w:bCs/>
              </w:rPr>
              <w:t>Osteoma</w:t>
            </w:r>
            <w:proofErr w:type="spellEnd"/>
            <w:r w:rsidRPr="006D00FD">
              <w:rPr>
                <w:rStyle w:val="bold"/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D00FD">
              <w:rPr>
                <w:rStyle w:val="bold"/>
                <w:rFonts w:ascii="Arial" w:hAnsi="Arial" w:cs="Arial"/>
                <w:b/>
                <w:bCs/>
              </w:rPr>
              <w:t>Osteoide</w:t>
            </w:r>
            <w:proofErr w:type="spellEnd"/>
          </w:p>
          <w:p w:rsidR="006367AD" w:rsidRPr="006D00FD" w:rsidRDefault="006367A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osteoide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é definido como uma neoplasia benigna ativa (B2), produtora de tecido ósseo, que se caracteriza pela presença de um </w:t>
            </w:r>
            <w:proofErr w:type="spellStart"/>
            <w:r w:rsidRPr="006D00FD">
              <w:rPr>
                <w:rStyle w:val="italico"/>
                <w:rFonts w:ascii="Arial" w:hAnsi="Arial" w:cs="Arial"/>
                <w:i/>
                <w:iCs/>
                <w:color w:val="000000"/>
              </w:rPr>
              <w:t>nidus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 central vascularizado, circundado por uma zona de osso esclerótico reativo.</w:t>
            </w:r>
          </w:p>
          <w:p w:rsidR="006367AD" w:rsidRPr="006D00FD" w:rsidRDefault="006367AD" w:rsidP="006367AD">
            <w:pPr>
              <w:pStyle w:val="sub3"/>
              <w:spacing w:before="285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  <w:color w:val="000000"/>
              </w:rPr>
              <w:t>Aspectos Clínicos</w:t>
            </w:r>
          </w:p>
          <w:p w:rsidR="006367AD" w:rsidRPr="006D00FD" w:rsidRDefault="006367A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Acomete crianças, adolescentes e adultos jovens, com prevalência no sexo masculino (3:1).</w:t>
            </w:r>
          </w:p>
          <w:p w:rsidR="006367AD" w:rsidRPr="006D00FD" w:rsidRDefault="006367AD" w:rsidP="006367AD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Localizado na maioria dos casos nos ossos longos, principalmente na diáfise do fêmur e da tíbia, e raramente nos pequenos ossos das mãos e pés. O acometimento da coluna vertebral ocorre em cerca de 10% dos casos, geralmente nos elementos posteriores da vértebra (lâmina, faceta articular e pedículo).</w:t>
            </w:r>
          </w:p>
          <w:p w:rsidR="006367AD" w:rsidRPr="006D00FD" w:rsidRDefault="006367AD" w:rsidP="006367AD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 sintoma clássico é dor de forte intensidade, crescente e pior à noite. Aumento de volume local, sensibilidade e sinais inflamatórios são frequentes em lesões superficiais. Em geral a dor melhora com o uso de analgésicos, principalmente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salicilatos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. Quando localizados em regiões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periarticulares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evoluem com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sinovite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, derrame articular e limitação da amplitude de movimentos, simulando artrite. A atrofia muscular do membro acometido é frequente. Na coluna vertebral, pode ocasionar escoliose dolorosa e espasmo muscular.</w:t>
            </w:r>
          </w:p>
          <w:p w:rsidR="006367AD" w:rsidRPr="006D00FD" w:rsidRDefault="006367AD" w:rsidP="006367AD">
            <w:pPr>
              <w:pStyle w:val="sub3"/>
              <w:spacing w:before="285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  <w:color w:val="000000"/>
              </w:rPr>
              <w:t>Diagnóstico por Imagem</w:t>
            </w:r>
          </w:p>
          <w:p w:rsidR="006367AD" w:rsidRPr="006D00FD" w:rsidRDefault="006367A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O aspecto clássico é a presença do </w:t>
            </w:r>
            <w:proofErr w:type="spellStart"/>
            <w:r w:rsidRPr="006D00FD">
              <w:rPr>
                <w:rStyle w:val="italico"/>
                <w:rFonts w:ascii="Arial" w:hAnsi="Arial" w:cs="Arial"/>
                <w:i/>
                <w:iCs/>
                <w:color w:val="000000"/>
              </w:rPr>
              <w:t>nidus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 na diáfise dos ossos longos, que se caracteriza por uma lesão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radiotransparente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ovalada de até 1,5 cm de diâmetro, circundada por uma zona de osso esclerótico reativo. Quando em localização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subperiosteal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ou nas regiões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metafisárias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ou epifisárias, pode não haver formação do osso reacional.</w:t>
            </w:r>
          </w:p>
          <w:p w:rsidR="006367AD" w:rsidRPr="006D00FD" w:rsidRDefault="006367AD" w:rsidP="006367AD">
            <w:pPr>
              <w:pStyle w:val="sub3"/>
              <w:spacing w:before="285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  <w:color w:val="000000"/>
              </w:rPr>
              <w:t>Tratamento</w:t>
            </w:r>
          </w:p>
          <w:p w:rsidR="006367AD" w:rsidRPr="006D00FD" w:rsidRDefault="006367A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osteoide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é uma lesão autolimitada com tendência a resolução espontânea no decorrer de anos. Entretanto, o tratamento se faz necessário na grande maioria dos casos devido à intensa sintomatologia e limitação funcional.</w:t>
            </w:r>
          </w:p>
          <w:p w:rsidR="006367AD" w:rsidRPr="006D00FD" w:rsidRDefault="006367AD" w:rsidP="006367AD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O tratamento de escolha é a ressecção marginal completa em bloco do </w:t>
            </w:r>
            <w:proofErr w:type="spellStart"/>
            <w:r w:rsidRPr="006D00FD">
              <w:rPr>
                <w:rStyle w:val="italico"/>
                <w:rFonts w:ascii="Arial" w:hAnsi="Arial" w:cs="Arial"/>
                <w:i/>
                <w:iCs/>
                <w:color w:val="000000"/>
              </w:rPr>
              <w:t>nidus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. Não é necessária a ressecção do osso esclerótico reacional. Os procedimentos de ressecção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intralesional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(curetagem) podem evoluir com recidiva local.</w:t>
            </w:r>
          </w:p>
          <w:p w:rsidR="006367AD" w:rsidRPr="006D00FD" w:rsidRDefault="006367AD" w:rsidP="006367AD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</w:rPr>
            </w:pPr>
          </w:p>
          <w:p w:rsidR="006367AD" w:rsidRPr="006D00FD" w:rsidRDefault="006367AD" w:rsidP="006367AD">
            <w:pPr>
              <w:pStyle w:val="sub2"/>
              <w:spacing w:before="285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Tumor de Células Gigantes</w:t>
            </w:r>
          </w:p>
          <w:p w:rsidR="006367AD" w:rsidRPr="006D00FD" w:rsidRDefault="006367A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 tumor de células gigantes (TCG), ou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osteoclastoma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, é definido como uma neoplasia benigna agressiva (B3), caracterizada pela presença de células gigantes multinucleadas em um estroma altamente vascularizado, constituída por células fusiformes ou ovoides.</w:t>
            </w:r>
          </w:p>
          <w:p w:rsidR="006367AD" w:rsidRPr="006D00FD" w:rsidRDefault="006367AD" w:rsidP="006367AD">
            <w:pPr>
              <w:pStyle w:val="sub3"/>
              <w:spacing w:before="285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  <w:color w:val="000000"/>
              </w:rPr>
              <w:t>Aspectos Clínicos</w:t>
            </w:r>
          </w:p>
          <w:p w:rsidR="006367AD" w:rsidRPr="006D00FD" w:rsidRDefault="006367A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Corresponde a cerca de 8% dos tumores ósseos primários; nos povos asiáticos, sua incidência chega a 20%.</w:t>
            </w:r>
          </w:p>
          <w:p w:rsidR="006367AD" w:rsidRPr="006D00FD" w:rsidRDefault="006367AD" w:rsidP="006367AD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Acomete adultos jovens na terceira e quarta décadas da vida, com placa epifisária fechada. Apresenta ligeira prevalência no sexo feminino (</w:t>
            </w:r>
            <w:proofErr w:type="gramStart"/>
            <w:r w:rsidRPr="006D00FD">
              <w:rPr>
                <w:rFonts w:ascii="Arial" w:hAnsi="Arial" w:cs="Arial"/>
                <w:color w:val="000000"/>
              </w:rPr>
              <w:t>1.5:</w:t>
            </w:r>
            <w:proofErr w:type="gramEnd"/>
            <w:r w:rsidRPr="006D00FD">
              <w:rPr>
                <w:rFonts w:ascii="Arial" w:hAnsi="Arial" w:cs="Arial"/>
                <w:color w:val="000000"/>
              </w:rPr>
              <w:t>1).</w:t>
            </w:r>
          </w:p>
          <w:p w:rsidR="006367AD" w:rsidRPr="006D00FD" w:rsidRDefault="006367AD" w:rsidP="006367AD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A localização clássica é a epífise dos ossos longos, principalmente o fêmur distal, a tíbia proximal, o rádio distal e sacro. Na coluna vertebral, acometem o corpo vertebral. Mais de 50% dos casos ocorrem ao redor do joelho. Existem raros casos de acometimento em crianças com placa epifisária aberta, e, considerando a localização epifisária, devem ser diferenciados do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condroblastoma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epifisário. Comprometimento multicêntrico é raro, porém traduz uma lesão de comportamento biológico mais agressivo e pior prognóstico.</w:t>
            </w:r>
          </w:p>
          <w:p w:rsidR="006367AD" w:rsidRPr="006D00FD" w:rsidRDefault="006367AD" w:rsidP="006367AD">
            <w:pPr>
              <w:pStyle w:val="sub3"/>
              <w:spacing w:before="285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  <w:color w:val="000000"/>
              </w:rPr>
              <w:t>Diagnóstico por Imagem</w:t>
            </w:r>
          </w:p>
          <w:p w:rsidR="006367AD" w:rsidRPr="006D00FD" w:rsidRDefault="006367A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 TCG caracteriza-se por uma lesão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osteolítica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epifisária, excêntrica, com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trabeculações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6D00FD">
              <w:rPr>
                <w:rFonts w:ascii="Arial" w:hAnsi="Arial" w:cs="Arial"/>
                <w:color w:val="000000"/>
              </w:rPr>
              <w:t>centrais e mal delimitada</w:t>
            </w:r>
            <w:proofErr w:type="gramEnd"/>
            <w:r w:rsidRPr="006D00FD">
              <w:rPr>
                <w:rFonts w:ascii="Arial" w:hAnsi="Arial" w:cs="Arial"/>
                <w:color w:val="000000"/>
              </w:rPr>
              <w:t xml:space="preserve">, o que traduz sua agressividade local. Com o crescimento, o tumor invade a metáfise, insufla e destrói a cortical, compromete as partes moles e pode evoluir com fratura patológica, quando podemos observar reação periosteal. Na epífise se estende até a cartilagem articular, mas sem invasão articular. Na coluna vertebral, lesões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osteolíticas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expansivas acometem o corpo vertebral.</w:t>
            </w:r>
          </w:p>
          <w:p w:rsidR="006367AD" w:rsidRPr="006D00FD" w:rsidRDefault="006367AD" w:rsidP="006367AD">
            <w:pPr>
              <w:pStyle w:val="sub3"/>
              <w:spacing w:before="285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  <w:color w:val="000000"/>
              </w:rPr>
              <w:t>Tratamento</w:t>
            </w:r>
          </w:p>
          <w:p w:rsidR="006367AD" w:rsidRPr="006D00FD" w:rsidRDefault="006367A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Considerando a localização epifisária do TGC, o grande desafio do tratamento é uma ressecção oncológica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ade-qua</w:t>
            </w:r>
            <w:r w:rsidRPr="006D00FD">
              <w:rPr>
                <w:rFonts w:ascii="Arial" w:hAnsi="Arial" w:cs="Arial"/>
                <w:color w:val="000000"/>
              </w:rPr>
              <w:softHyphen/>
            </w:r>
            <w:r w:rsidRPr="006D00FD">
              <w:rPr>
                <w:rFonts w:ascii="Arial" w:hAnsi="Arial" w:cs="Arial"/>
                <w:color w:val="000000"/>
              </w:rPr>
              <w:softHyphen/>
              <w:t>da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do tumor e sua reconstrução, preservando a função articular.</w:t>
            </w:r>
          </w:p>
          <w:p w:rsidR="006367AD" w:rsidRDefault="006367A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6D00FD" w:rsidRPr="006D00FD" w:rsidRDefault="006D00F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6D00FD" w:rsidRDefault="006D00F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6D00FD" w:rsidRDefault="006D00F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6D00FD" w:rsidRDefault="006D00FD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6367AD" w:rsidRPr="006D00FD" w:rsidRDefault="00426D37" w:rsidP="006367AD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  <w:r w:rsidRPr="006D00FD">
              <w:rPr>
                <w:rFonts w:ascii="Arial" w:hAnsi="Arial" w:cs="Arial"/>
                <w:b/>
                <w:color w:val="000000"/>
              </w:rPr>
              <w:t>TUMORES ÓSSEOS MALIGNOS</w:t>
            </w:r>
          </w:p>
          <w:p w:rsidR="00426D37" w:rsidRPr="006D00FD" w:rsidRDefault="00426D37" w:rsidP="00426D37">
            <w:pPr>
              <w:pStyle w:val="subititulo1"/>
              <w:spacing w:before="475" w:beforeAutospacing="0" w:after="0" w:afterAutospacing="0"/>
              <w:rPr>
                <w:rFonts w:ascii="Arial" w:hAnsi="Arial" w:cs="Arial"/>
                <w:b/>
                <w:bCs/>
                <w:color w:val="6E438C"/>
              </w:rPr>
            </w:pPr>
            <w:proofErr w:type="spellStart"/>
            <w:r w:rsidRPr="006D00FD">
              <w:rPr>
                <w:rStyle w:val="bold"/>
                <w:rFonts w:ascii="Arial" w:hAnsi="Arial" w:cs="Arial"/>
                <w:b/>
                <w:bCs/>
              </w:rPr>
              <w:t>Osteossarcoma</w:t>
            </w:r>
            <w:proofErr w:type="spellEnd"/>
          </w:p>
          <w:p w:rsidR="00426D37" w:rsidRPr="006D00FD" w:rsidRDefault="00426D37" w:rsidP="00426D37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.</w:t>
            </w:r>
          </w:p>
          <w:p w:rsidR="00426D37" w:rsidRPr="006D00FD" w:rsidRDefault="00426D37" w:rsidP="00426D37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Definição</w:t>
            </w:r>
          </w:p>
          <w:p w:rsidR="00426D37" w:rsidRPr="006D00FD" w:rsidRDefault="00426D37" w:rsidP="00426D37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osteossarcoma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é uma neoplasia maligna agressiva, de origem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mesenquimal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, caracterizada por formação irregular de osso imaturo, produção de matriz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osteoide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e células fusiformes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estromais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malignas.</w:t>
            </w:r>
          </w:p>
          <w:p w:rsidR="00426D37" w:rsidRPr="006D00FD" w:rsidRDefault="00426D37" w:rsidP="00426D37">
            <w:pPr>
              <w:pStyle w:val="sub2"/>
              <w:spacing w:before="285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Epidemiologia</w:t>
            </w:r>
          </w:p>
          <w:p w:rsidR="00426D37" w:rsidRPr="006D00FD" w:rsidRDefault="00426D37" w:rsidP="00426D37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É o mais comum tumor maligno primário do osso em crianças e adolescentes. É mais comum na fase inicial da vida, podendo acometer qualquer faixa etária. Poucos casos são relatados num segundo pico (bimodal) em pacientes idosos.</w:t>
            </w:r>
          </w:p>
          <w:p w:rsidR="00426D37" w:rsidRPr="006D00FD" w:rsidRDefault="00426D37" w:rsidP="00426D37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Nessa neoplasia existe uma leve predileção pelo gênero masculino.</w:t>
            </w:r>
          </w:p>
          <w:p w:rsidR="00426D37" w:rsidRPr="006D00FD" w:rsidRDefault="00426D37" w:rsidP="00426D37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Cerca de 20% dos pacientes com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osteossarcoma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possuem alguma evidência, por imagem, de metástase no momento do diagnóstico. </w:t>
            </w:r>
          </w:p>
          <w:p w:rsidR="00426D37" w:rsidRPr="006D00FD" w:rsidRDefault="00426D37" w:rsidP="00426D37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A região anatômica mais afetada por esses tumores, a literatura evidencia o fêmur (metáfise distal) como o sítio mais frequente, seguido pelas metáfises proximais da tíbia e úmero, respectivamente. Contudo, podem ocorrer em qualquer osso do esqueleto humano.</w:t>
            </w:r>
          </w:p>
          <w:p w:rsidR="00426D37" w:rsidRPr="006D00FD" w:rsidRDefault="00426D37" w:rsidP="00426D37">
            <w:pPr>
              <w:pStyle w:val="sub2"/>
              <w:spacing w:before="285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Diagnóstico Clínico</w:t>
            </w:r>
          </w:p>
          <w:p w:rsidR="00426D37" w:rsidRPr="006D00FD" w:rsidRDefault="00426D37" w:rsidP="00426D37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    Clinicamente, esses tumores manifestam-se, no início, por dor local, em geral inespecífica, com ou sem tumor visível associado, podendo variar de semanas a meses. Com a evolução do processo neoplásico, a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tumoração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tende a ser progressiva. Tumores de maiores volumes podem apresentar neovascularização local.</w:t>
            </w:r>
          </w:p>
          <w:p w:rsidR="00426D37" w:rsidRPr="006D00FD" w:rsidRDefault="00426D37" w:rsidP="00426D37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Ocasionalmente, o indivíduo pode apresentar a perda de função do segmento acometido, com pouca ou nenhuma sintomatologia prévia. Nesses casos, pode-se observar uma fratura patológica, variando de 7% a 17%, nas séries de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osteossarcomas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. A dor, frequentemente encontrada, em geral está presente no processo como forma de alerta, exceto nos casos de fratura patológica.</w:t>
            </w:r>
          </w:p>
          <w:p w:rsidR="00426D37" w:rsidRPr="006D00FD" w:rsidRDefault="00426D37" w:rsidP="00426D37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Pode haver uma história de trauma local prévio, contudo não há evidências de que este evento venha a desenca</w:t>
            </w:r>
            <w:r w:rsidRPr="006D00FD">
              <w:rPr>
                <w:rFonts w:ascii="Arial" w:hAnsi="Arial" w:cs="Arial"/>
                <w:color w:val="000000"/>
              </w:rPr>
              <w:softHyphen/>
              <w:t>dear a lesão.</w:t>
            </w:r>
          </w:p>
          <w:p w:rsidR="00426D37" w:rsidRPr="006D00FD" w:rsidRDefault="00426D37" w:rsidP="00426D37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Nenhuma sintomatologia sistêmica tem sido associada à doença.</w:t>
            </w:r>
          </w:p>
          <w:p w:rsidR="00426D37" w:rsidRPr="006D00FD" w:rsidRDefault="00426D37" w:rsidP="00426D37">
            <w:pPr>
              <w:pStyle w:val="sub2"/>
              <w:spacing w:before="285" w:beforeAutospacing="0" w:after="0" w:afterAutospacing="0"/>
              <w:rPr>
                <w:rFonts w:ascii="Arial" w:hAnsi="Arial" w:cs="Arial"/>
                <w:b/>
                <w:bCs/>
                <w:color w:val="D47120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Diagnóstico por Imagem</w:t>
            </w:r>
          </w:p>
          <w:p w:rsidR="00426D37" w:rsidRPr="006D00FD" w:rsidRDefault="00426D37" w:rsidP="00426D37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Radiografias simples são necessárias e úteis para identificar o tumor; contudo, não mostram a extensão do acometimento das partes mole</w:t>
            </w:r>
            <w:r w:rsidR="00807D68" w:rsidRPr="006D00FD">
              <w:rPr>
                <w:rFonts w:ascii="Arial" w:hAnsi="Arial" w:cs="Arial"/>
                <w:color w:val="000000"/>
              </w:rPr>
              <w:t>s nem o envolvimento intraósseo</w:t>
            </w:r>
            <w:r w:rsidRPr="006D00FD">
              <w:rPr>
                <w:rFonts w:ascii="Arial" w:hAnsi="Arial" w:cs="Arial"/>
                <w:color w:val="000000"/>
              </w:rPr>
              <w:t xml:space="preserve">. A aparência radiográfica usual do tumor é de uma lesão agressiva (com reação periosteal) na metáfise do osso longo. As lesões são usualmente radiopacas, mas podem ser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radiotransparentes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ou mistas (ambas as primeiras numa mesma região). </w:t>
            </w:r>
          </w:p>
          <w:p w:rsidR="00426D37" w:rsidRPr="006D00FD" w:rsidRDefault="00426D37" w:rsidP="00426D37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>A tomografia computadorizada do local pode adicionar informação sobre o tecido mineralizado, mas a extensão do envolvimento pelo tumor é mais bem avaliada pela ressonância magnética.</w:t>
            </w:r>
          </w:p>
          <w:p w:rsidR="00807D68" w:rsidRPr="006D00FD" w:rsidRDefault="00807D68" w:rsidP="00807D68">
            <w:pPr>
              <w:pStyle w:val="sub2"/>
              <w:spacing w:before="285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Tratamento</w:t>
            </w:r>
          </w:p>
          <w:p w:rsidR="00807D68" w:rsidRPr="006D00FD" w:rsidRDefault="00807D68" w:rsidP="00807D68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Uma combinação de quimioterapia e cirurgia parece ser a escolha padrão de tratamento do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osteossarcoma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de alto grau de malignidade</w:t>
            </w:r>
          </w:p>
          <w:p w:rsidR="00B80524" w:rsidRPr="006D00FD" w:rsidRDefault="00B80524" w:rsidP="00807D68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80524" w:rsidRPr="006D00FD" w:rsidRDefault="00B80524" w:rsidP="00807D68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80524" w:rsidRPr="006D00FD" w:rsidRDefault="00B80524" w:rsidP="00B80524">
            <w:pPr>
              <w:pStyle w:val="subititulo1"/>
              <w:spacing w:before="475" w:beforeAutospacing="0" w:after="0" w:afterAutospacing="0"/>
              <w:rPr>
                <w:rFonts w:ascii="Arial" w:hAnsi="Arial" w:cs="Arial"/>
                <w:b/>
                <w:bCs/>
              </w:rPr>
            </w:pPr>
            <w:proofErr w:type="spellStart"/>
            <w:r w:rsidRPr="006D00FD">
              <w:rPr>
                <w:rStyle w:val="bold"/>
                <w:rFonts w:ascii="Arial" w:hAnsi="Arial" w:cs="Arial"/>
                <w:b/>
                <w:bCs/>
              </w:rPr>
              <w:t>Condrossarcoma</w:t>
            </w:r>
            <w:proofErr w:type="spellEnd"/>
          </w:p>
          <w:p w:rsidR="00B80524" w:rsidRPr="006D00FD" w:rsidRDefault="00B80524" w:rsidP="00B80524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80524" w:rsidRPr="006D00FD" w:rsidRDefault="00B80524" w:rsidP="00B80524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Consiste em tumores que apresentam um grande espectro de comportamento biológico: uns têm crescimento lento, baixo grau de malignidade e raramente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metastatizam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; outros crescem muito rápido, são altamente malignos e associados a metástases. São basicamente lesões de natureza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mesenquimal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e que assumem aspecto cartilaginoso em diversas fases de maturação.</w:t>
            </w:r>
          </w:p>
          <w:p w:rsidR="00B80524" w:rsidRPr="006D00FD" w:rsidRDefault="00B80524" w:rsidP="00B80524">
            <w:pPr>
              <w:pStyle w:val="sub2"/>
              <w:spacing w:before="285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Definição</w:t>
            </w:r>
          </w:p>
          <w:p w:rsidR="00B80524" w:rsidRPr="006D00FD" w:rsidRDefault="00B80524" w:rsidP="00B80524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As células de diferentes tipos de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condrossarcoma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, uma neoplasia maligna, produzem, predominantemente, uma matriz cartilaginosa atípica (condroide). Por vezes, há outros tecidos que acompanham a lesão: áreas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mixoides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, de calcificação e ossificação.</w:t>
            </w:r>
          </w:p>
          <w:p w:rsidR="00B80524" w:rsidRPr="006D00FD" w:rsidRDefault="00B80524" w:rsidP="00B80524">
            <w:pPr>
              <w:pStyle w:val="sub2"/>
              <w:spacing w:before="285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Epidemiologia</w:t>
            </w:r>
          </w:p>
          <w:p w:rsidR="00B80524" w:rsidRPr="006D00FD" w:rsidRDefault="00B80524" w:rsidP="00B80524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condrossarcoma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é o terceiro tipo mais comum de tumor ósseo maligno primário, responsável por 20% a 27% de todos eles.</w:t>
            </w:r>
          </w:p>
          <w:p w:rsidR="00B80524" w:rsidRPr="006D00FD" w:rsidRDefault="00B80524" w:rsidP="00B80524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A distribuição em homens e mulheres é semelhante, apesar de alguns autores relataram o dobro da prevalência nos homens. </w:t>
            </w:r>
          </w:p>
          <w:p w:rsidR="00B80524" w:rsidRPr="006D00FD" w:rsidRDefault="00B80524" w:rsidP="00B80524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condrossarcoma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é mais frequentemente encontrado nos ossos longos devido à ossificação endocondral. Os locais mais comuns incluem fêmur, úmero e costelas. Contudo, também atingem ossos chatos, como os constituintes da pelve. São extremamente raros nos oss</w:t>
            </w:r>
            <w:r w:rsidR="00F61BF2" w:rsidRPr="006D00FD">
              <w:rPr>
                <w:rFonts w:ascii="Arial" w:hAnsi="Arial" w:cs="Arial"/>
                <w:color w:val="000000"/>
              </w:rPr>
              <w:t xml:space="preserve">os dos pés. </w:t>
            </w:r>
          </w:p>
          <w:p w:rsidR="00F61BF2" w:rsidRPr="006D00FD" w:rsidRDefault="00F61BF2" w:rsidP="00F61BF2">
            <w:pPr>
              <w:pStyle w:val="sub2"/>
              <w:spacing w:before="285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Classificação</w:t>
            </w:r>
          </w:p>
          <w:p w:rsidR="00F61BF2" w:rsidRPr="006D00FD" w:rsidRDefault="00F61BF2" w:rsidP="00F61BF2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A própria literatura é confusa com relação à classificação dos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condrossarcomas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.</w:t>
            </w:r>
          </w:p>
          <w:p w:rsidR="00F61BF2" w:rsidRPr="006D00FD" w:rsidRDefault="00F61BF2" w:rsidP="00F61BF2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Dividem-se em primário e secundário. Este último decorre de uma lesão cartilaginosa benigna preexistente (p. ex.,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osteocondroma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condroma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etc.).</w:t>
            </w:r>
          </w:p>
          <w:p w:rsidR="00F61BF2" w:rsidRPr="006D00FD" w:rsidRDefault="00F61BF2" w:rsidP="00F61BF2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Com base na localização, 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condrossarcoma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é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classifi</w:t>
            </w:r>
            <w:r w:rsidRPr="006D00FD">
              <w:rPr>
                <w:rFonts w:ascii="Arial" w:hAnsi="Arial" w:cs="Arial"/>
                <w:color w:val="000000"/>
              </w:rPr>
              <w:softHyphen/>
              <w:t>-cado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em central (intramedular) e periférico (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justacortical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).</w:t>
            </w:r>
          </w:p>
          <w:p w:rsidR="00F61BF2" w:rsidRPr="006D00FD" w:rsidRDefault="00F61BF2" w:rsidP="00F61BF2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Quanto às características histológicas, incluem o tipo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mixoide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, células claras,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mesênquima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, hialino e desdiferenciado. Aproximadamente 10% de </w:t>
            </w:r>
            <w:proofErr w:type="gramStart"/>
            <w:r w:rsidRPr="006D00FD">
              <w:rPr>
                <w:rFonts w:ascii="Arial" w:hAnsi="Arial" w:cs="Arial"/>
                <w:color w:val="000000"/>
              </w:rPr>
              <w:t>todas os</w:t>
            </w:r>
            <w:proofErr w:type="gramEnd"/>
            <w:r w:rsidRPr="006D00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condrossarcomas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são do tipo desdiferenciado.</w:t>
            </w:r>
          </w:p>
          <w:p w:rsidR="00F61BF2" w:rsidRPr="006D00FD" w:rsidRDefault="00F61BF2" w:rsidP="00B80524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F61BF2" w:rsidRPr="006D00FD" w:rsidRDefault="00F61BF2" w:rsidP="00F61BF2">
            <w:pPr>
              <w:pStyle w:val="sub2"/>
              <w:spacing w:before="285" w:beforeAutospacing="0" w:after="0" w:afterAutospacing="0"/>
              <w:rPr>
                <w:rFonts w:ascii="Arial" w:hAnsi="Arial" w:cs="Arial"/>
                <w:b/>
                <w:bCs/>
                <w:color w:val="D47120"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Diagnóstico Clínico</w:t>
            </w:r>
          </w:p>
          <w:p w:rsidR="00F61BF2" w:rsidRPr="006D00FD" w:rsidRDefault="00F61BF2" w:rsidP="00F61BF2">
            <w:pPr>
              <w:pStyle w:val="texto-rec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Pelo seu amplo espectro de comportamento biológico, o quadro clínico é variável: desde indolor até um intenso processo álgico. A dor é o principal sintoma nesses casos. Ela pode estar ou não acompanhada de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tumoração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 local. </w:t>
            </w:r>
          </w:p>
          <w:p w:rsidR="00F61BF2" w:rsidRPr="006D00FD" w:rsidRDefault="00F61BF2" w:rsidP="00F61BF2">
            <w:pPr>
              <w:pStyle w:val="texto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000000"/>
              </w:rPr>
            </w:pPr>
            <w:r w:rsidRPr="006D00FD">
              <w:rPr>
                <w:rFonts w:ascii="Arial" w:hAnsi="Arial" w:cs="Arial"/>
                <w:color w:val="000000"/>
              </w:rPr>
              <w:t xml:space="preserve">Deve-se alertar que pode não ser observada uma correlação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clinicorradiológica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 xml:space="preserve">, ou seja, tumores de grandes dimensões podem ser </w:t>
            </w:r>
            <w:proofErr w:type="spellStart"/>
            <w:r w:rsidRPr="006D00FD">
              <w:rPr>
                <w:rFonts w:ascii="Arial" w:hAnsi="Arial" w:cs="Arial"/>
                <w:color w:val="000000"/>
              </w:rPr>
              <w:t>oligossintomáticos</w:t>
            </w:r>
            <w:proofErr w:type="spellEnd"/>
            <w:r w:rsidRPr="006D00FD">
              <w:rPr>
                <w:rFonts w:ascii="Arial" w:hAnsi="Arial" w:cs="Arial"/>
                <w:color w:val="000000"/>
              </w:rPr>
              <w:t>; e vice-versa.</w:t>
            </w:r>
          </w:p>
          <w:p w:rsidR="00F61BF2" w:rsidRPr="006D00FD" w:rsidRDefault="00F61BF2" w:rsidP="00F61BF2">
            <w:pPr>
              <w:pStyle w:val="text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F61BF2" w:rsidRPr="006D00FD" w:rsidRDefault="00F61BF2" w:rsidP="00F61BF2">
            <w:pPr>
              <w:pStyle w:val="sub2"/>
              <w:shd w:val="clear" w:color="auto" w:fill="FFFFFF"/>
              <w:spacing w:before="285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Diagnóstico por Imagem</w:t>
            </w:r>
          </w:p>
          <w:p w:rsidR="00F61BF2" w:rsidRPr="006D00FD" w:rsidRDefault="00F61BF2" w:rsidP="00F61BF2">
            <w:pPr>
              <w:pStyle w:val="texto-re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B1B26"/>
              </w:rPr>
            </w:pPr>
            <w:r w:rsidRPr="006D00FD">
              <w:rPr>
                <w:rFonts w:ascii="Arial" w:hAnsi="Arial" w:cs="Arial"/>
                <w:color w:val="1B1B26"/>
              </w:rPr>
              <w:t xml:space="preserve">Geralmente o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condrossarcoma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 central pode apresentar-se como uma lesão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osteolítica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 (com ou sem calcificação no interior), bem delimitada e com um adelgaçamento ou espessamento da cortical. Raramente apresenta-se como uma lesão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esclerosante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. </w:t>
            </w:r>
          </w:p>
          <w:p w:rsidR="00F61BF2" w:rsidRPr="006D00FD" w:rsidRDefault="00F61BF2" w:rsidP="00F61BF2">
            <w:pPr>
              <w:pStyle w:val="texto"/>
              <w:shd w:val="clear" w:color="auto" w:fill="FFFFFF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1B1B26"/>
              </w:rPr>
            </w:pPr>
            <w:r w:rsidRPr="006D00FD">
              <w:rPr>
                <w:rFonts w:ascii="Arial" w:hAnsi="Arial" w:cs="Arial"/>
                <w:color w:val="1B1B26"/>
              </w:rPr>
              <w:t xml:space="preserve">Um foco de destruição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endosteal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 ou uma área de formação de finas camadas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endosteais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 habitualmente estão presentes. Pode, também, simplesmente haver um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levan</w:t>
            </w:r>
            <w:r w:rsidRPr="006D00FD">
              <w:rPr>
                <w:rFonts w:ascii="Arial" w:hAnsi="Arial" w:cs="Arial"/>
                <w:color w:val="1B1B26"/>
              </w:rPr>
              <w:softHyphen/>
              <w:t>-ta</w:t>
            </w:r>
            <w:r w:rsidRPr="006D00FD">
              <w:rPr>
                <w:rFonts w:ascii="Arial" w:hAnsi="Arial" w:cs="Arial"/>
                <w:color w:val="1B1B26"/>
              </w:rPr>
              <w:softHyphen/>
              <w:t>mento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 periosteal com uma fina laminação. Se a lesão estiver numa fase de rápido crescimento, as margens bem delimitadas podem desaparecer e, então, surgir uma ampla zona de transição.</w:t>
            </w:r>
          </w:p>
          <w:p w:rsidR="00F61BF2" w:rsidRPr="006D00FD" w:rsidRDefault="00F61BF2" w:rsidP="00F61BF2">
            <w:pPr>
              <w:pStyle w:val="texto"/>
              <w:shd w:val="clear" w:color="auto" w:fill="FFFFFF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1B1B26"/>
              </w:rPr>
            </w:pPr>
            <w:r w:rsidRPr="006D00FD">
              <w:rPr>
                <w:rFonts w:ascii="Arial" w:hAnsi="Arial" w:cs="Arial"/>
                <w:color w:val="1B1B26"/>
              </w:rPr>
              <w:t xml:space="preserve">Por vezes, nos casos mais agressivos, podemos observar o comprometimento de toda a diáfise do osso e até rotura cortical e invasão de partes moles adjacentes. O surgimento de uma grande massa tumoral com pontos de calcificação no interior é característico de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condrossarcomas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 em fase avançada.</w:t>
            </w:r>
          </w:p>
          <w:p w:rsidR="00F61BF2" w:rsidRPr="006D00FD" w:rsidRDefault="00F61BF2" w:rsidP="00F61BF2">
            <w:pPr>
              <w:pStyle w:val="sub2"/>
              <w:shd w:val="clear" w:color="auto" w:fill="FFFFFF"/>
              <w:spacing w:before="285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D00FD">
              <w:rPr>
                <w:rStyle w:val="bold"/>
                <w:rFonts w:ascii="Arial" w:hAnsi="Arial" w:cs="Arial"/>
                <w:b/>
                <w:bCs/>
              </w:rPr>
              <w:t>Tratamento</w:t>
            </w:r>
          </w:p>
          <w:p w:rsidR="00F61BF2" w:rsidRPr="006D00FD" w:rsidRDefault="00F61BF2" w:rsidP="00F61BF2">
            <w:pPr>
              <w:pStyle w:val="texto-re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B1B26"/>
              </w:rPr>
            </w:pPr>
            <w:r w:rsidRPr="006D00FD">
              <w:rPr>
                <w:rFonts w:ascii="Arial" w:hAnsi="Arial" w:cs="Arial"/>
                <w:color w:val="1B1B26"/>
              </w:rPr>
              <w:t xml:space="preserve">Devido à sua matriz extracelular, baixa porcentagem de células em divisão e má vascularização, esses tumores tendem a ser resistentes à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quimio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 e à radioterapia.</w:t>
            </w:r>
          </w:p>
          <w:p w:rsidR="00F61BF2" w:rsidRPr="006D00FD" w:rsidRDefault="00F61BF2" w:rsidP="00F61BF2">
            <w:pPr>
              <w:pStyle w:val="texto"/>
              <w:shd w:val="clear" w:color="auto" w:fill="FFFFFF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1B1B26"/>
              </w:rPr>
            </w:pPr>
            <w:r w:rsidRPr="006D00FD">
              <w:rPr>
                <w:rFonts w:ascii="Arial" w:hAnsi="Arial" w:cs="Arial"/>
                <w:color w:val="1B1B26"/>
              </w:rPr>
              <w:t xml:space="preserve">A ressecção cirúrgica continua a ser o pilar do tratamento do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condrossarcoma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>. A extensão da retirada ci</w:t>
            </w:r>
            <w:r w:rsidRPr="006D00FD">
              <w:rPr>
                <w:rFonts w:ascii="Arial" w:hAnsi="Arial" w:cs="Arial"/>
                <w:color w:val="1B1B26"/>
              </w:rPr>
              <w:softHyphen/>
            </w:r>
            <w:r w:rsidRPr="006D00FD">
              <w:rPr>
                <w:rFonts w:ascii="Arial" w:hAnsi="Arial" w:cs="Arial"/>
                <w:color w:val="1B1B26"/>
              </w:rPr>
              <w:softHyphen/>
              <w:t xml:space="preserve">rúrgica e o uso de terapia adjuvante dependem das características clínicas e histológicas das lesões. A exérese com margens cirúrgicas amplas é ideal para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condrossarcoma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 intermediário e alto grau; já no tumor de baixo grau, extensa curetagem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intralesional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 seguido de tratamento local adjuvante (p. ex.,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fenolização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,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criocirurgia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,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eletro</w:t>
            </w:r>
            <w:r w:rsidRPr="006D00FD">
              <w:rPr>
                <w:rFonts w:ascii="Arial" w:hAnsi="Arial" w:cs="Arial"/>
                <w:color w:val="1B1B26"/>
              </w:rPr>
              <w:softHyphen/>
              <w:t>termia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) e preenchimento da cavidade com enxerto ósseo ou cimento para osso, mostrou-se promissor </w:t>
            </w:r>
            <w:proofErr w:type="gramStart"/>
            <w:r w:rsidRPr="006D00FD">
              <w:rPr>
                <w:rFonts w:ascii="Arial" w:hAnsi="Arial" w:cs="Arial"/>
                <w:color w:val="1B1B26"/>
              </w:rPr>
              <w:t>a longo prazo</w:t>
            </w:r>
            <w:proofErr w:type="gramEnd"/>
            <w:r w:rsidRPr="006D00FD">
              <w:rPr>
                <w:rFonts w:ascii="Arial" w:hAnsi="Arial" w:cs="Arial"/>
                <w:color w:val="1B1B26"/>
              </w:rPr>
              <w:t xml:space="preserve">, com resultados clínicos e controle local satisfatórios. </w:t>
            </w:r>
          </w:p>
          <w:p w:rsidR="00F61BF2" w:rsidRPr="006D00FD" w:rsidRDefault="00F61BF2" w:rsidP="00F61BF2">
            <w:pPr>
              <w:pStyle w:val="texto"/>
              <w:shd w:val="clear" w:color="auto" w:fill="FFFFFF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1B1B26"/>
              </w:rPr>
            </w:pPr>
            <w:r w:rsidRPr="006D00FD">
              <w:rPr>
                <w:rFonts w:ascii="Arial" w:hAnsi="Arial" w:cs="Arial"/>
                <w:color w:val="1B1B26"/>
              </w:rPr>
              <w:t xml:space="preserve">O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condrossarcoma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 não responde à radioterapia. Se a margem cirúrgica estiver comprometida, deve-se realizar </w:t>
            </w:r>
            <w:proofErr w:type="spellStart"/>
            <w:r w:rsidRPr="006D00FD">
              <w:rPr>
                <w:rFonts w:ascii="Arial" w:hAnsi="Arial" w:cs="Arial"/>
                <w:color w:val="1B1B26"/>
              </w:rPr>
              <w:t>reintervenção</w:t>
            </w:r>
            <w:proofErr w:type="spellEnd"/>
            <w:r w:rsidRPr="006D00FD">
              <w:rPr>
                <w:rFonts w:ascii="Arial" w:hAnsi="Arial" w:cs="Arial"/>
                <w:color w:val="1B1B26"/>
              </w:rPr>
              <w:t xml:space="preserve"> cirúrgica para ampliação de margem.</w:t>
            </w:r>
          </w:p>
          <w:p w:rsidR="006367AD" w:rsidRPr="00FB0D11" w:rsidRDefault="00F61BF2" w:rsidP="00FB0D11">
            <w:pPr>
              <w:pStyle w:val="texto"/>
              <w:shd w:val="clear" w:color="auto" w:fill="FFFFFF"/>
              <w:spacing w:before="0" w:beforeAutospacing="0" w:after="0" w:afterAutospacing="0"/>
              <w:ind w:firstLine="180"/>
              <w:jc w:val="both"/>
              <w:rPr>
                <w:rFonts w:ascii="Arial" w:hAnsi="Arial" w:cs="Arial"/>
                <w:color w:val="1B1B26"/>
              </w:rPr>
            </w:pPr>
            <w:r w:rsidRPr="006D00FD">
              <w:rPr>
                <w:rFonts w:ascii="Arial" w:hAnsi="Arial" w:cs="Arial"/>
                <w:color w:val="1B1B26"/>
              </w:rPr>
              <w:t xml:space="preserve"> </w:t>
            </w:r>
            <w:bookmarkStart w:id="1" w:name="_GoBack"/>
            <w:bookmarkEnd w:id="1"/>
          </w:p>
        </w:tc>
      </w:tr>
    </w:tbl>
    <w:bookmarkEnd w:id="0"/>
    <w:p w:rsidR="00CF6440" w:rsidRPr="006D00FD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6D00FD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F6440" w:rsidRPr="006D00FD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6D00FD">
        <w:rPr>
          <w:rFonts w:ascii="Arial" w:hAnsi="Arial" w:cs="Arial"/>
          <w:sz w:val="24"/>
          <w:szCs w:val="24"/>
        </w:rPr>
        <w:t>Referências</w:t>
      </w:r>
    </w:p>
    <w:p w:rsidR="00CF6440" w:rsidRPr="006D00F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6D00FD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6D00FD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0FD">
              <w:rPr>
                <w:rFonts w:ascii="Arial" w:hAnsi="Arial" w:cs="Arial"/>
                <w:sz w:val="24"/>
                <w:szCs w:val="24"/>
              </w:rPr>
              <w:t>KUMAR, V; ABBAS, A. K</w:t>
            </w:r>
            <w:proofErr w:type="gramStart"/>
            <w:r w:rsidRPr="006D00FD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  <w:r w:rsidRPr="006D00FD">
              <w:rPr>
                <w:rFonts w:ascii="Arial" w:hAnsi="Arial" w:cs="Arial"/>
                <w:sz w:val="24"/>
                <w:szCs w:val="24"/>
              </w:rPr>
              <w:t xml:space="preserve"> ASTER, J. C. Robbins, patologia básica. Rio de Janeiro: </w:t>
            </w:r>
            <w:proofErr w:type="spellStart"/>
            <w:r w:rsidRPr="006D00FD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6D00FD">
              <w:rPr>
                <w:rFonts w:ascii="Arial" w:hAnsi="Arial" w:cs="Arial"/>
                <w:sz w:val="24"/>
                <w:szCs w:val="24"/>
              </w:rPr>
              <w:t xml:space="preserve">, 2013. </w:t>
            </w:r>
          </w:p>
          <w:p w:rsidR="00CF6440" w:rsidRPr="006D00FD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0FD">
              <w:rPr>
                <w:rFonts w:ascii="Arial" w:hAnsi="Arial" w:cs="Arial"/>
                <w:sz w:val="24"/>
                <w:szCs w:val="24"/>
              </w:rPr>
              <w:t xml:space="preserve">KUMAR, V. </w:t>
            </w:r>
            <w:proofErr w:type="gramStart"/>
            <w:r w:rsidRPr="006D00FD">
              <w:rPr>
                <w:rFonts w:ascii="Arial" w:hAnsi="Arial" w:cs="Arial"/>
                <w:sz w:val="24"/>
                <w:szCs w:val="24"/>
              </w:rPr>
              <w:t>et</w:t>
            </w:r>
            <w:proofErr w:type="gramEnd"/>
            <w:r w:rsidRPr="006D00FD">
              <w:rPr>
                <w:rFonts w:ascii="Arial" w:hAnsi="Arial" w:cs="Arial"/>
                <w:sz w:val="24"/>
                <w:szCs w:val="24"/>
              </w:rPr>
              <w:t xml:space="preserve"> al. Robbins e </w:t>
            </w:r>
            <w:proofErr w:type="spellStart"/>
            <w:r w:rsidRPr="006D00FD">
              <w:rPr>
                <w:rFonts w:ascii="Arial" w:hAnsi="Arial" w:cs="Arial"/>
                <w:sz w:val="24"/>
                <w:szCs w:val="24"/>
              </w:rPr>
              <w:t>Cotran</w:t>
            </w:r>
            <w:proofErr w:type="spellEnd"/>
            <w:r w:rsidRPr="006D00FD">
              <w:rPr>
                <w:rFonts w:ascii="Arial" w:hAnsi="Arial" w:cs="Arial"/>
                <w:sz w:val="24"/>
                <w:szCs w:val="24"/>
              </w:rPr>
              <w:t xml:space="preserve">, bases patológicas das doenças. Rio de Janeiro: </w:t>
            </w:r>
            <w:proofErr w:type="spellStart"/>
            <w:r w:rsidRPr="006D00FD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6D00FD">
              <w:rPr>
                <w:rFonts w:ascii="Arial" w:hAnsi="Arial" w:cs="Arial"/>
                <w:sz w:val="24"/>
                <w:szCs w:val="24"/>
              </w:rPr>
              <w:t>, 2010.</w:t>
            </w:r>
          </w:p>
          <w:p w:rsidR="001569B5" w:rsidRPr="006D00FD" w:rsidRDefault="006D00FD" w:rsidP="006D00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0FD">
              <w:rPr>
                <w:rFonts w:ascii="Arial" w:hAnsi="Arial" w:cs="Arial"/>
                <w:sz w:val="24"/>
                <w:szCs w:val="24"/>
              </w:rPr>
              <w:t>Ortopedia e traumatologia – Geraldo da Rocha Motta filho e</w:t>
            </w:r>
            <w:proofErr w:type="gramStart"/>
            <w:r w:rsidRPr="006D00F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6D00FD">
              <w:rPr>
                <w:rFonts w:ascii="Arial" w:hAnsi="Arial" w:cs="Arial"/>
                <w:sz w:val="24"/>
                <w:szCs w:val="24"/>
              </w:rPr>
              <w:t>Tarcísio Eloy</w:t>
            </w:r>
          </w:p>
          <w:p w:rsidR="001569B5" w:rsidRPr="006D00FD" w:rsidRDefault="006D00FD" w:rsidP="006D00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0FD">
              <w:rPr>
                <w:rFonts w:ascii="Arial" w:hAnsi="Arial" w:cs="Arial"/>
                <w:sz w:val="24"/>
                <w:szCs w:val="24"/>
              </w:rPr>
              <w:t xml:space="preserve">Trauma Ortopédico - Gerenciando Fraturas de </w:t>
            </w:r>
            <w:proofErr w:type="spellStart"/>
            <w:r w:rsidRPr="006D00FD">
              <w:rPr>
                <w:rFonts w:ascii="Arial" w:hAnsi="Arial" w:cs="Arial"/>
                <w:sz w:val="24"/>
                <w:szCs w:val="24"/>
              </w:rPr>
              <w:t>Emergêcia</w:t>
            </w:r>
            <w:proofErr w:type="spellEnd"/>
            <w:r w:rsidRPr="006D00FD">
              <w:rPr>
                <w:rFonts w:ascii="Arial" w:hAnsi="Arial" w:cs="Arial"/>
                <w:sz w:val="24"/>
                <w:szCs w:val="24"/>
              </w:rPr>
              <w:t xml:space="preserve"> - Timothy O White</w:t>
            </w:r>
          </w:p>
          <w:p w:rsidR="007F11CD" w:rsidRPr="006D00FD" w:rsidRDefault="007F11CD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6440" w:rsidRPr="006D00F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6D00F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sectPr w:rsidR="00CF6440" w:rsidRPr="006D0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9FA"/>
    <w:multiLevelType w:val="hybridMultilevel"/>
    <w:tmpl w:val="8CEA92FC"/>
    <w:lvl w:ilvl="0" w:tplc="6EC26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E8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C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44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05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47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6966F2"/>
    <w:multiLevelType w:val="hybridMultilevel"/>
    <w:tmpl w:val="2814F086"/>
    <w:lvl w:ilvl="0" w:tplc="D7489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C8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121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6B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2E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2C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ED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0D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C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040B25"/>
    <w:multiLevelType w:val="hybridMultilevel"/>
    <w:tmpl w:val="A73E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40"/>
    <w:rsid w:val="000C3ED1"/>
    <w:rsid w:val="001569B5"/>
    <w:rsid w:val="002073B7"/>
    <w:rsid w:val="00426D37"/>
    <w:rsid w:val="006367AD"/>
    <w:rsid w:val="00662268"/>
    <w:rsid w:val="006D00FD"/>
    <w:rsid w:val="007F11CD"/>
    <w:rsid w:val="00807D68"/>
    <w:rsid w:val="00830B45"/>
    <w:rsid w:val="0088189A"/>
    <w:rsid w:val="00B80524"/>
    <w:rsid w:val="00CF6440"/>
    <w:rsid w:val="00CF6BCD"/>
    <w:rsid w:val="00F61BF2"/>
    <w:rsid w:val="00F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paragraph" w:customStyle="1" w:styleId="sub2">
    <w:name w:val="sub2"/>
    <w:basedOn w:val="Normal"/>
    <w:rsid w:val="0083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ld">
    <w:name w:val="bold"/>
    <w:basedOn w:val="Fontepargpadro"/>
    <w:rsid w:val="00830B45"/>
  </w:style>
  <w:style w:type="paragraph" w:customStyle="1" w:styleId="texto-rec">
    <w:name w:val="texto-rec"/>
    <w:basedOn w:val="Normal"/>
    <w:rsid w:val="0083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3">
    <w:name w:val="sub3"/>
    <w:basedOn w:val="Normal"/>
    <w:rsid w:val="0083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listparaindent1">
    <w:name w:val="normallistparaindent1"/>
    <w:basedOn w:val="Normal"/>
    <w:rsid w:val="0083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83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o">
    <w:name w:val="italico"/>
    <w:basedOn w:val="Fontepargpadro"/>
    <w:rsid w:val="006367AD"/>
  </w:style>
  <w:style w:type="paragraph" w:customStyle="1" w:styleId="subititulo1">
    <w:name w:val="subititulo1"/>
    <w:basedOn w:val="Normal"/>
    <w:rsid w:val="0042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paragraph" w:customStyle="1" w:styleId="sub2">
    <w:name w:val="sub2"/>
    <w:basedOn w:val="Normal"/>
    <w:rsid w:val="0083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ld">
    <w:name w:val="bold"/>
    <w:basedOn w:val="Fontepargpadro"/>
    <w:rsid w:val="00830B45"/>
  </w:style>
  <w:style w:type="paragraph" w:customStyle="1" w:styleId="texto-rec">
    <w:name w:val="texto-rec"/>
    <w:basedOn w:val="Normal"/>
    <w:rsid w:val="0083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3">
    <w:name w:val="sub3"/>
    <w:basedOn w:val="Normal"/>
    <w:rsid w:val="0083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listparaindent1">
    <w:name w:val="normallistparaindent1"/>
    <w:basedOn w:val="Normal"/>
    <w:rsid w:val="0083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83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o">
    <w:name w:val="italico"/>
    <w:basedOn w:val="Fontepargpadro"/>
    <w:rsid w:val="006367AD"/>
  </w:style>
  <w:style w:type="paragraph" w:customStyle="1" w:styleId="subititulo1">
    <w:name w:val="subititulo1"/>
    <w:basedOn w:val="Normal"/>
    <w:rsid w:val="0042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8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8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0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2308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.</dc:creator>
  <cp:lastModifiedBy>Kika</cp:lastModifiedBy>
  <cp:revision>7</cp:revision>
  <dcterms:created xsi:type="dcterms:W3CDTF">2021-02-01T20:53:00Z</dcterms:created>
  <dcterms:modified xsi:type="dcterms:W3CDTF">2021-02-01T21:44:00Z</dcterms:modified>
</cp:coreProperties>
</file>