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8"/>
          <w:szCs w:val="1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Punção de alívio para pneumotórax hipertensivo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mãos, calçar luva estéril, paramentação.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 estéril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Óculos para proteção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Gorro descartável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Máscara descartável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Avental cirúrgico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Campo fenestrado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Pacote de curativo com pinças dente de rato, kocher, anatômica e Kelly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Dispositivo intravenoso (cateter curto flexível- jelco- n°14 ou 16)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 de 20 ml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Agulha 40x12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Ampola de água destilada 10ml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Antisséptico 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clorexidina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Alcoólico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Gaze estéril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o paciente em DDH.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Orientar o paciente quanto ao procedimento.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 paramentação completa.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o campo com técnica asséptica em uma mesa auxiliar.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os materiais sobre o campo, mantendo a técnica asséptica.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Aspirar água destilada com a seringa de 20 ml e agulha 40x12 e deixar um espaço de ar na seringa.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o jelco (só a agulha)  na seringa já com a água destilada.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antissepsia e colocar o campo fenestrado.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Localizar o 2° espaço intercostal em linha hemiclavicular.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punção com a agulha perpendicular, na borda superior da costela inferior.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o êmbolo da seringa e observar o “borbulhamento”.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 drenagem fechada com selo d’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água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anotações em prontuário.</w:t>
            </w:r>
          </w:p>
        </w:tc>
      </w:tr>
    </w:tbl>
    <w:p w:rsidR="00000000" w:rsidDel="00000000" w:rsidP="00000000" w:rsidRDefault="00000000" w:rsidRPr="00000000" w14:paraId="00000038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539" w:top="2238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238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238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238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238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570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3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6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7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9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A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B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D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AnLL119RpO9qQuqKlao4O49uQ==">CgMxLjAaHwoBMBIaChgICVIUChJ0YWJsZS50dW5tZmlnZGNnMDk4AHIhMUtGVFViTWdSNUpVX3VLajNWMm1JemFmenNXQWNpMEY2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2014-05-22T10:52:00Z</dcterms:created>
  <dc:creator>lhabsim</dc:creator>
</cp:coreProperties>
</file>