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Exame Pélvico Ginecológico Toque          Repetir no mínimo:   5 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material: 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 de procedimento.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Lubrificante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pé, peça que o paciente se deite e relaxe.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Calçar luvas de procedimento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Lubrificar os dedos da mão dominante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 a outra mão, afastar as ninfas ou pequenos lábios vaginais.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Introduzir os dedos indicador e médio da mão dominante em movimento semelhante ao da introdução ao espéculo, até alcançar o colo uterino.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Fixar o colo uterino por via vaginal e, com a outra mão, apalpar a região pélvica (baixo ventre) procurando o fundo uterino acima de sínfise púbica.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Ao encontrar o útero entre ambas as mãos, avaliar no mínimo: posição, tamanho, mobilidade, consistência, sensibilidade dolorosa.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Deslizar a mão abdominal em direção às fossas ilíacas direita e esquerda procurando palpar os anexos. Este movimento deve ser seguido pelos dedos vaginais que devem mover-se para os fundos de sacos vaginais direito e esquerdo respectivamente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os dedos da vagina em movimento semelhante à retirada do espéculo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Descartar as luvas usadas em recipiente apropriado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Descrever o exame realizado no prontuário da paciente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517" w:left="0" w:right="566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517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517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517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517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555" w:tblpY="0"/>
      <w:tblW w:w="10410.0" w:type="dxa"/>
      <w:jc w:val="left"/>
      <w:tblLayout w:type="fixed"/>
      <w:tblLook w:val="0000"/>
    </w:tblPr>
    <w:tblGrid>
      <w:gridCol w:w="2595"/>
      <w:gridCol w:w="1620"/>
      <w:gridCol w:w="3435"/>
      <w:gridCol w:w="2760"/>
      <w:tblGridChange w:id="0">
        <w:tblGrid>
          <w:gridCol w:w="2595"/>
          <w:gridCol w:w="1620"/>
          <w:gridCol w:w="3435"/>
          <w:gridCol w:w="2760"/>
        </w:tblGrid>
      </w:tblGridChange>
    </w:tblGrid>
    <w:tr>
      <w:trPr>
        <w:cantSplit w:val="1"/>
        <w:tblHeader w:val="0"/>
      </w:trPr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57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58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59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5A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5C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5D">
          <w:pPr>
            <w:keepNext w:val="1"/>
            <w:spacing w:after="120" w:before="240" w:lineRule="auto"/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5E">
          <w:pPr>
            <w:ind w:right="22"/>
            <w:jc w:val="righ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60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61">
          <w:pPr>
            <w:keepNext w:val="1"/>
            <w:spacing w:after="120" w:before="240" w:lineRule="auto"/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62">
          <w:pPr>
            <w:ind w:right="22"/>
            <w:jc w:val="righ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64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65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:Carlos Augusto Cerillo Machado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67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1"/>
        <w:tblHeader w:val="0"/>
      </w:trPr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69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6D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542925</wp:posOffset>
          </wp:positionH>
          <wp:positionV relativeFrom="paragraph">
            <wp:posOffset>133350</wp:posOffset>
          </wp:positionV>
          <wp:extent cx="1251929" cy="953851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1929" cy="9538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XxLBgzvpCZ62gHKGUQ7eJVv5g==">CgMxLjA4AHIhMS12RGxzdlFYaHVHZUtmbXNORFFEcjJMUjFjaURQaC1S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2011-11-02T21:29:00Z</dcterms:created>
  <dc:creator>carlanb</dc:creator>
</cp:coreProperties>
</file>