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highlight w:val="white"/>
          <w:rtl w:val="0"/>
        </w:rPr>
        <w:t xml:space="preserve">Coluna vertebral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tem o potencial de melhora a performance frente à aprendizagem e à performance professional,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Coluna vertebral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7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65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Dezembro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/2023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37">
      <w:pPr>
        <w:spacing w:after="0" w:line="276" w:lineRule="auto"/>
        <w:ind w:left="426" w:firstLine="0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hyperlink r:id="rId9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https://medarcade.grupointegrado.br/jogar/coluna-vertebral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Rafael Godoy Pinguelo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Juan Manfrim Fernandes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9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5A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5B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5C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-386705</wp:posOffset>
          </wp:positionH>
          <wp:positionV relativeFrom="paragraph">
            <wp:posOffset>-160010</wp:posOffset>
          </wp:positionV>
          <wp:extent cx="1612900" cy="731520"/>
          <wp:effectExtent b="0" l="0" r="0" t="0"/>
          <wp:wrapSquare wrapText="bothSides" distB="0" distT="0" distL="114300" distR="114300"/>
          <wp:docPr id="6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medarcade.grupointegrado.br/jogar/coluna-vertebra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gbeXSh5forUjofrcG3kQlsVz4Q==">CgMxLjAyCGguZ2pkZ3hzOAByITF1aFJFZVlsWlVBb3JsTUROSjBGa3IzdE9KMmxLa01KNw==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