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Preparo de medicamentos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Preparo de medicamentos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7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67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Dezembro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/2023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7">
      <w:pPr>
        <w:spacing w:after="0" w:line="276" w:lineRule="auto"/>
        <w:ind w:left="426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hyperlink r:id="rId9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https://medarcade.grupointegrado.br/jogar/preparo-de-medicamentos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Rafael Godoy Pinguelo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Juan Manfrim Fernandes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Camila Gomes Braga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5C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-386703</wp:posOffset>
          </wp:positionH>
          <wp:positionV relativeFrom="paragraph">
            <wp:posOffset>-160009</wp:posOffset>
          </wp:positionV>
          <wp:extent cx="1612900" cy="731520"/>
          <wp:effectExtent b="0" l="0" r="0" t="0"/>
          <wp:wrapSquare wrapText="bothSides" distB="0" distT="0" distL="114300" distR="114300"/>
          <wp:docPr id="6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medarcade.grupointegrado.br/jogar/preparo-de-medicamento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r5lK/C87JlWvS8PAIV76aSLLw==">CgMxLjAyCGguZ2pkZ3hzOAByITFhdVRfTXd4OXVvdVVGeFE2VDBiUTNmdUFnbEo4b3JNdQ==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