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highlight w:val="white"/>
          <w:rtl w:val="0"/>
        </w:rPr>
        <w:t xml:space="preserve">Intestino grosso - segmentos, forma e particularidades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Intestino grosso - segmentos, forma e particularidades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7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58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3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  <w:hyperlink r:id="rId9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https://medarcade.grupointegrado.br/jogar/jogo11-intestinogrossosegmentosformaeparticularidades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Chiara Kerolaine Beletato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C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5D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-386675</wp:posOffset>
          </wp:positionH>
          <wp:positionV relativeFrom="paragraph">
            <wp:posOffset>-159987</wp:posOffset>
          </wp:positionV>
          <wp:extent cx="1612900" cy="731520"/>
          <wp:effectExtent b="0" l="0" r="0" t="0"/>
          <wp:wrapSquare wrapText="bothSides" distB="0" distT="0" distL="114300" distR="114300"/>
          <wp:docPr id="15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medarcade.grupointegrado.br/jogar/jogo11-intestinogrossosegmentosformaeparticularidad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JkLGEGAf/hDkgzF+UKBMD2wpw==">CgMxLjAyCGguZ2pkZ3hzOAByITFhR2x6STRReFAzQldLNTVzWGRuUzlGbm5qSGlrNXoteg==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