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highlight w:val="white"/>
          <w:rtl w:val="0"/>
        </w:rPr>
        <w:t xml:space="preserve">Vias Biliares e suas relações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tem o potencial de melhora a performance frente à aprendizagem e à performance professional,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das vias Biliares e suas relações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399730" cy="2882900"/>
            <wp:effectExtent b="0" l="0" r="0" t="0"/>
            <wp:docPr id="3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88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399730" cy="2882900"/>
            <wp:effectExtent b="0" l="0" r="0" t="0"/>
            <wp:docPr id="3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88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31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Outubro/2023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https://medarcade.grupointegrado.br/jogar/viasbiliaresesuasrelacoes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Leandro Pinecio Malizan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Eloy Okabayashi Fuzzi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viasbiliaresesuasrelacoes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4LIhOE/EAH3k3tD6efQw2G9CeA==">CgMxLjAyCGguZ2pkZ3hzOAByITEyblZrcjdRQ09ORkNOazBGU3VBNGh2amdubXNMV0tuWQ==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