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Vísceras abdominais - vista anterior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Vísceras abdominais - vista anterior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4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14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44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https://medarcade.grupointegrado.br/jogar/jogo7-víscerasabdominaisvistaanterior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Chiara Kerolaine Beletato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-386681</wp:posOffset>
          </wp:positionH>
          <wp:positionV relativeFrom="paragraph">
            <wp:posOffset>-159991</wp:posOffset>
          </wp:positionV>
          <wp:extent cx="1612900" cy="731520"/>
          <wp:effectExtent b="0" l="0" r="0" t="0"/>
          <wp:wrapSquare wrapText="bothSides" distB="0" distT="0" distL="114300" distR="114300"/>
          <wp:docPr id="1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jogo7-v%C3%ADscerasabdominaisvistaanterior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cgNiMX6cKcnoKF+kLr6r7CFCQ==">CgMxLjAyCGguZ2pkZ3hzOAByITFrZXVCc3hFU3BlV1BpOGdMNGVrS0tELVBmTFBLWlNaVg==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