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Útero e anexos- topografia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topografia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útero e anexos.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5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541" l="0" r="0" t="154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8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52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https://medarcade.grupointegrado.br/jogar/uteroeanexostopografia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Carlos Augusto Cerillo Machado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Carolina Ferrari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-386708</wp:posOffset>
          </wp:positionH>
          <wp:positionV relativeFrom="paragraph">
            <wp:posOffset>-160013</wp:posOffset>
          </wp:positionV>
          <wp:extent cx="1612900" cy="731520"/>
          <wp:effectExtent b="0" l="0" r="0" t="0"/>
          <wp:wrapSquare wrapText="bothSides" distB="0" distT="0" distL="114300" distR="114300"/>
          <wp:docPr id="5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medarcade.grupointegrado.br/jogar/uteroeanexostopografia" TargetMode="Externa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7WtI57Kx4L9QBpiWP/r7u79gUg==">CgMxLjA4AHIhMUhzSGlYN1VJRXZQVWlfUW12cTJPOE5OTjBBSURMaWZs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