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ind w:left="426" w:firstLine="0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Sífilis</w:t>
      </w:r>
    </w:p>
    <w:p w:rsidR="00000000" w:rsidDel="00000000" w:rsidP="00000000" w:rsidRDefault="00000000" w:rsidRPr="00000000" w14:paraId="0000000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melhorar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profissional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 depender do endereçamento do recurso educacional utilizado.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Estudar sífilis.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99740"/>
            <wp:effectExtent b="0" l="0" r="0" t="0"/>
            <wp:docPr descr="Uma imagem contendo Padrão do plano de fundo&#10;&#10;Descrição gerada automaticamente" id="1228676662" name="image3.png"/>
            <a:graphic>
              <a:graphicData uri="http://schemas.openxmlformats.org/drawingml/2006/picture">
                <pic:pic>
                  <pic:nvPicPr>
                    <pic:cNvPr descr="Uma imagem contendo Padrão do plano de fundo&#10;&#10;Descrição gerada automaticamente"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997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400040" cy="2999105"/>
            <wp:effectExtent b="0" l="0" r="0" t="0"/>
            <wp:docPr id="122867666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991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em um vídeo e material informativo.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minimos: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https://medarcade.grupointegrado.br/?keyword&amp;creative&amp;gad=1&amp;gclid=CjwKCAjwysipBhBXEiwApJOcu-eEt6_dmrpOX7DxJCzctjgmYuHCdb9sl_j5_l8gxkFCLr1XSqxl5xoCnR8QAvD_BwE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1228676663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Agosto/2022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5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6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https://medarcade.grupointegrado.br/jogar/sifilis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Antônio Sérgio Alves Oliveira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Camila Gomes Braga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sz w:val="23"/>
          <w:szCs w:val="23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highlight w:val="white"/>
          <w:rtl w:val="0"/>
        </w:rPr>
        <w:t xml:space="preserve">Flavia Afonso Pinto Fuzii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</w:rPr>
      </w:pPr>
      <w:bookmarkStart w:colFirst="0" w:colLast="0" w:name="_heading=h.mb7mygs7wp2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1"/>
      <w:bookmarkEnd w:id="1"/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53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B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</w:p>
    <w:p w:rsidR="00000000" w:rsidDel="00000000" w:rsidP="00000000" w:rsidRDefault="00000000" w:rsidRPr="00000000" w14:paraId="0000005D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2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63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64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5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6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7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-386714</wp:posOffset>
          </wp:positionH>
          <wp:positionV relativeFrom="paragraph">
            <wp:posOffset>-160019</wp:posOffset>
          </wp:positionV>
          <wp:extent cx="1612900" cy="731520"/>
          <wp:effectExtent b="0" l="0" r="0" t="0"/>
          <wp:wrapSquare wrapText="bothSides" distB="0" distT="0" distL="114300" distR="114300"/>
          <wp:docPr id="122867666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sifilis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qW3TPagPJPcI6bf0+PBGBUMCQ==">CgMxLjAyDmgubWI3bXlnczd3cDJzMghoLmdqZGd4czgAciExdWZUbS13T3laRHpDdk81VWQ4djRPY0tnVzREaGxDVXU=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2023-10-22T21:31:00Z</dcterms:created>
  <dc:creator>marco marangoni</dc:creator>
</cp:coreProperties>
</file>