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Posição da vagina na pelve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 vagina na pelve.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39415"/>
            <wp:effectExtent b="0" l="0" r="0" t="0"/>
            <wp:docPr id="4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112" l="0" r="0" t="11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9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8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49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Abril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https://medarcade.grupointegrado.br/jogar/posicaodavaginanapelve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Juan Manfrim Fernandes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Carlos Augusto Cerillo Machado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Carolina Ferrari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1" w:type="default"/>
      <w:footerReference r:id="rId12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3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-386709</wp:posOffset>
          </wp:positionH>
          <wp:positionV relativeFrom="paragraph">
            <wp:posOffset>-160014</wp:posOffset>
          </wp:positionV>
          <wp:extent cx="1612900" cy="731520"/>
          <wp:effectExtent b="0" l="0" r="0" t="0"/>
          <wp:wrapSquare wrapText="bothSides" distB="0" distT="0" distL="114300" distR="114300"/>
          <wp:docPr id="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medarcade.grupointegrado.br/jogar/posicaodavaginanapelve" TargetMode="Externa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LW6jr0rRK0DtUZym0txaGu0llQ==">CgMxLjAyCGguZ2pkZ3hzOAByITFLdGdEdkJ4Vmk1dWJzV3BMdjVCTW02ZU1sV3RYM2x2bw==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