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Relatório Técnico: sistema esquelético – membros inferiores</w:t>
      </w:r>
    </w:p>
    <w:p w:rsidR="00000000" w:rsidDel="00000000" w:rsidP="00000000" w:rsidRDefault="00000000" w:rsidRPr="00000000" w14:paraId="00000003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Introdução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 uso de jogos faz parte de nosso desenvolvimento mental e social e, além disso, estudos científicos sugerem que a utilização de jogos eletrônicos na educação superior, incluindo na educação em saúde, apresenta potenciais benefícios, podendo colaborar com melhoria do conhecimento, de habilidades e atitudes.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1,2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Os jogos online satisfazem os requisitos básicos para serem veiculados e utilizados em ambientes de ambientes de aprendizagem e podem proporcionar experiências de aprendizagem envolventes aos alunos.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superscript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Um bom modelo de jogo deve possuir objetivos claros, desafios que correspondam ao nível de habilidade do aluno e idealmente deve permitir algum tipo de feedback imediato.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superscript"/>
          <w:rtl w:val="0"/>
        </w:rPr>
        <w:t xml:space="preserve">3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Combinar os diversos aspectos previamente relatados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têm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 potencial de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melhorar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performance frente à aprendizagem e à performance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profissional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a depender do endereçamento do recurso educacional utilizado.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Motivação e objetivos pedagógicos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Reconhecer e identificar os ossos dos membros inferiores.</w:t>
      </w:r>
    </w:p>
    <w:p w:rsidR="00000000" w:rsidDel="00000000" w:rsidP="00000000" w:rsidRDefault="00000000" w:rsidRPr="00000000" w14:paraId="0000000C">
      <w:pPr>
        <w:spacing w:after="0" w:line="276" w:lineRule="auto"/>
        <w:ind w:left="78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Público-Alvo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Estudantes do curso de medicina.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Estudantes de cursos da saúde dedicados ao estudo da anatomia.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Profissionais de saúde interessados em aprofundar ou relembrar de conteúdos previamente aprendidos.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Sobre a importância do protótipo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termo protótipo é usado em uma variedade de contextos para, inicialmente, avaliar um novo produto ou proposta, com o intuito de instrumentar a análise de utilidade e usabilidade para os usuários, fornecendo informações e colaborações para o sistema real e funcional. Um bom ponto de partida, neste processo, é elencar os requisitos iniciais tanto técnicos quanto pedagógicos e a pesquisa e identificação de iniciativas semelhantes já utilizadas e conhecidas, devendo respeitar os elementos explicitados a seguir.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Orientação para requisitos técnicos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proposta não deve depender de aquisição de softwares ou aplicativos por parte do usuário.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Necessariamente precisa funcionar tanto em plataforma desktop quanto mobile.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Idealmente, em mobile, deve rodar tanto em sistema Android quanto IOS.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Desejável que permita usabilidade online, sem necessidade de download.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 possuir livre acesso e sem custo.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Orientação para requisitos pedagógicos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objetivo pedagógico precisa estar delineado e descrito.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jogo deve fornecer oportunidade de tentativas múltiplas e no número desejado ou requerido pelos usuários.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 permitir a usabilidade por múltiplos indivíduos de forma simultânea.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Design do jogo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Mockup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5400040" cy="2515870"/>
            <wp:effectExtent b="0" l="0" r="0" t="0"/>
            <wp:docPr id="195002627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5158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5400040" cy="2506345"/>
            <wp:effectExtent b="0" l="0" r="0" t="0"/>
            <wp:docPr descr="Tela de computador com fundo preto&#10;&#10;Descrição gerada automaticamente com confiança média" id="1950026274" name="image3.png"/>
            <a:graphic>
              <a:graphicData uri="http://schemas.openxmlformats.org/drawingml/2006/picture">
                <pic:pic>
                  <pic:nvPicPr>
                    <pic:cNvPr descr="Tela de computador com fundo preto&#10;&#10;Descrição gerada automaticamente com confiança média"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5063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Visão geral e mecânicas centrais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mecânica central é baseada no sistema “arrasta e solta”, ou “drag and drop”, privilegiando reconhecimentos de estruturas, processos ou algoritmos.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Ferramentas utilizadas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Construct 2 Versão r280 (64 bits)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Construct 3 Versão r358. Linguagem: pt-br. Sistema Operacional mínimo: Windows 10, Win64, x64.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Photoshop CS6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Versão 13.0 Requisitos minimos: Processador Intel® Pentium® 4 ou AMD Athlon® 64. Microsoft® Windows® XP com Service Pack 3 ou Windows 7 com Service Pack 1. 2 GB de RAM (3 GB recomendado) para 32 bits; 2 GB de RAM (8 GB recomendado) para 64 bits.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Método de disponibilização e Implementação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material instrucional (jogo) está disponibilizado em uma plataforma denominada “Medarcade”, com livre acessa, que funciona como repositório público e amplamente acessível para uso educacional.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link para acesso da plataforma é, onde pode-se acessá-lo é:  </w:t>
      </w:r>
      <w:hyperlink r:id="rId9">
        <w:r w:rsidDel="00000000" w:rsidR="00000000" w:rsidRPr="00000000">
          <w:rPr>
            <w:rFonts w:ascii="Trebuchet MS" w:cs="Trebuchet MS" w:eastAsia="Trebuchet MS" w:hAnsi="Trebuchet MS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https://medarcade.grupointegrado.br/?keyword&amp;creative&amp;gad=1&amp;gclid=CjwKCAjwysipBhBXEiwApJOcu-eEt6_dmrpOX7DxJCzctjgmYuHCdb9sl_j5_l8gxkFCLr1XSqxl5xoCnR8QAvD_BwE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center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2595475" cy="688221"/>
            <wp:effectExtent b="0" l="0" r="0" t="0"/>
            <wp:docPr descr="https://lh7-us.googleusercontent.com/Kvjt1Y5sQzN2FCEMmwdTSz3H1Xu4IHOS1noFvw3omekm7R57ma2QyBzPgJ-tUhs2L9ksbxR7r6D7hbv7CfRLePigY-EdwonjR2Z9QqkDzgOYAXHLoeebCXhRt-Saq-LAtIYHvfPMzb8KSsQ9D__-Lg" id="1950026273" name="image2.png"/>
            <a:graphic>
              <a:graphicData uri="http://schemas.openxmlformats.org/drawingml/2006/picture">
                <pic:pic>
                  <pic:nvPicPr>
                    <pic:cNvPr descr="https://lh7-us.googleusercontent.com/Kvjt1Y5sQzN2FCEMmwdTSz3H1Xu4IHOS1noFvw3omekm7R57ma2QyBzPgJ-tUhs2L9ksbxR7r6D7hbv7CfRLePigY-EdwonjR2Z9QqkDzgOYAXHLoeebCXhRt-Saq-LAtIYHvfPMzb8KSsQ9D__-Lg"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95475" cy="6882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Mês e ano da publicação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Julho/2023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Link de acesso do jogo/material instrucional</w:t>
      </w:r>
    </w:p>
    <w:p w:rsidR="00000000" w:rsidDel="00000000" w:rsidP="00000000" w:rsidRDefault="00000000" w:rsidRPr="00000000" w14:paraId="00000049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O link para acesso direto e específico ao jogo é:</w:t>
      </w:r>
    </w:p>
    <w:p w:rsidR="00000000" w:rsidDel="00000000" w:rsidP="00000000" w:rsidRDefault="00000000" w:rsidRPr="00000000" w14:paraId="0000004A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r:id="rId11">
        <w:r w:rsidDel="00000000" w:rsidR="00000000" w:rsidRPr="00000000">
          <w:rPr>
            <w:rFonts w:ascii="Trebuchet MS" w:cs="Trebuchet MS" w:eastAsia="Trebuchet MS" w:hAnsi="Trebuchet MS"/>
            <w:b w:val="0"/>
            <w:i w:val="0"/>
            <w:smallCaps w:val="0"/>
            <w:strike w:val="0"/>
            <w:color w:val="0563c1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https://medarcade.grupointegrado.br/jogar/membroinferior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Autores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Marco Aurélio Marangoni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Alan Henrique de Lazari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Rafael Godoy Pinguelo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sz w:val="23"/>
          <w:szCs w:val="23"/>
          <w:highlight w:val="white"/>
          <w:rtl w:val="0"/>
        </w:rPr>
        <w:t xml:space="preserve">Benito Marcelo Ferri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Taísa Rocha Navasconi Berbert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Equipe de Tecnologia de Informação do Centro Universitário Integrado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Bibliografia</w:t>
      </w:r>
    </w:p>
    <w:p w:rsidR="00000000" w:rsidDel="00000000" w:rsidP="00000000" w:rsidRDefault="00000000" w:rsidRPr="00000000" w14:paraId="00000058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Harper, T. (2013). The culture of digital fighting games: Performance and practice. Routledge.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Papastergiou, M. (2009). Exploring the potential of computer and video games for health and physical education: A literature review. Computers &amp; Education, 53(3), 603-622.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Drysdale, J. S., Matthews, M., Terekhova-Nan, V., Woodfield, W., &amp; West, R. E. (2013). The Internet and Higher Education, 2001-2010. Educational Technology, 41-45.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color w:val="222222"/>
          <w:highlight w:val="white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highlight w:val="white"/>
          <w:rtl w:val="0"/>
        </w:rPr>
        <w:t xml:space="preserve">Kiili, K. (2005). Digital game-based learning: Towards an experiential gaming model. The Internet and higher education, 8(1), 13-24.</w:t>
      </w:r>
    </w:p>
    <w:p w:rsidR="00000000" w:rsidDel="00000000" w:rsidP="00000000" w:rsidRDefault="00000000" w:rsidRPr="00000000" w14:paraId="00000060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highlight w:val="white"/>
          <w:rtl w:val="0"/>
        </w:rPr>
        <w:t xml:space="preserve">Gregory, J. (2018). Game engine architecture. crc Press.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Richard, R. (2001). Game design: theory &amp; practice. Wordware Publishing, Inc. Schell, J. (2014). The Art of Game Design: A book of lenses. AK Peters/CRC Press.</w:t>
      </w:r>
    </w:p>
    <w:sectPr>
      <w:headerReference r:id="rId12" w:type="default"/>
      <w:footerReference r:id="rId13" w:type="default"/>
      <w:pgSz w:h="16838" w:w="11906" w:orient="portrait"/>
      <w:pgMar w:bottom="1417" w:top="1417" w:left="1701" w:right="1701" w:header="708" w:footer="21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Trebuchet MS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6">
    <w:pPr>
      <w:spacing w:after="0" w:line="240" w:lineRule="auto"/>
      <w:rPr>
        <w:rFonts w:ascii="Arial" w:cs="Arial" w:eastAsia="Arial" w:hAnsi="Arial"/>
        <w:color w:val="000000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000000"/>
        <w:sz w:val="18"/>
        <w:szCs w:val="18"/>
        <w:rtl w:val="0"/>
      </w:rPr>
      <w:t xml:space="preserve">__________________________________________________________________________________</w:t>
    </w:r>
  </w:p>
  <w:p w:rsidR="00000000" w:rsidDel="00000000" w:rsidP="00000000" w:rsidRDefault="00000000" w:rsidRPr="00000000" w14:paraId="00000067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Administração Central – Avenida José Custódio de Oliveira, 1325 – CEP: 87.300-020 – Campo Mourão – PR</w:t>
    </w:r>
  </w:p>
  <w:p w:rsidR="00000000" w:rsidDel="00000000" w:rsidP="00000000" w:rsidRDefault="00000000" w:rsidRPr="00000000" w14:paraId="00000068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“Centro” - Colégio e Faculdade - Avenida Irmãos Pereira, 670 centro - CEP: 87301-010 - Campo Mourão – PR</w:t>
    </w:r>
  </w:p>
  <w:p w:rsidR="00000000" w:rsidDel="00000000" w:rsidP="00000000" w:rsidRDefault="00000000" w:rsidRPr="00000000" w14:paraId="00000069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“Campus” - Rodovia BR 158 Km 208 - CEP: 87309-650 - Campo Mourão – PR</w:t>
    </w:r>
  </w:p>
  <w:p w:rsidR="00000000" w:rsidDel="00000000" w:rsidP="00000000" w:rsidRDefault="00000000" w:rsidRPr="00000000" w14:paraId="0000006A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“Integrado Serviços” – Avenida Irmãos Pereira, 870 centro – CEP: 87.301-010 – Campo Mourão – PR</w:t>
    </w:r>
  </w:p>
  <w:p w:rsidR="00000000" w:rsidDel="00000000" w:rsidP="00000000" w:rsidRDefault="00000000" w:rsidRPr="00000000" w14:paraId="0000006B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ff"/>
        <w:sz w:val="12"/>
        <w:szCs w:val="12"/>
        <w:rtl w:val="0"/>
      </w:rPr>
      <w:t xml:space="preserve">www.grupointegrado.br </w:t>
    </w: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0800 646 1982 44 3518-2500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CENTRO UNIVERSITÁRIO INTEGRADO DE CAMPO MOURÃO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-386714</wp:posOffset>
          </wp:positionH>
          <wp:positionV relativeFrom="paragraph">
            <wp:posOffset>-160019</wp:posOffset>
          </wp:positionV>
          <wp:extent cx="1612900" cy="731520"/>
          <wp:effectExtent b="0" l="0" r="0" t="0"/>
          <wp:wrapSquare wrapText="bothSides" distB="0" distT="0" distL="114300" distR="114300"/>
          <wp:docPr id="195002627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12900" cy="7315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Mantenedora: CEI - Centro Educacional Integrado Ltda</w:t>
    </w:r>
  </w:p>
  <w:p w:rsidR="00000000" w:rsidDel="00000000" w:rsidP="00000000" w:rsidRDefault="00000000" w:rsidRPr="00000000" w14:paraId="0000006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Recredenciamento: Portaria MEC Nº 883 de 01/09/15, publicada no D.O.U. 02/09/15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."/>
      <w:lvlJc w:val="left"/>
      <w:pPr>
        <w:ind w:left="1068" w:hanging="708"/>
      </w:pPr>
      <w:rPr/>
    </w:lvl>
    <w:lvl w:ilvl="1">
      <w:start w:val="1"/>
      <w:numFmt w:val="decimal"/>
      <w:lvlText w:val="%1.%2."/>
      <w:lvlJc w:val="left"/>
      <w:pPr>
        <w:ind w:left="1080" w:hanging="720"/>
      </w:pPr>
      <w:rPr/>
    </w:lvl>
    <w:lvl w:ilvl="2">
      <w:start w:val="1"/>
      <w:numFmt w:val="decimal"/>
      <w:lvlText w:val="%1.%2.%3."/>
      <w:lvlJc w:val="left"/>
      <w:pPr>
        <w:ind w:left="1080" w:hanging="720"/>
      </w:pPr>
      <w:rPr/>
    </w:lvl>
    <w:lvl w:ilvl="3">
      <w:start w:val="1"/>
      <w:numFmt w:val="decimal"/>
      <w:lvlText w:val="%1.%2.%3.%4."/>
      <w:lvlJc w:val="left"/>
      <w:pPr>
        <w:ind w:left="1440" w:hanging="1080"/>
      </w:pPr>
      <w:rPr/>
    </w:lvl>
    <w:lvl w:ilvl="4">
      <w:start w:val="1"/>
      <w:numFmt w:val="decimal"/>
      <w:lvlText w:val="%1.%2.%3.%4.%5."/>
      <w:lvlJc w:val="left"/>
      <w:pPr>
        <w:ind w:left="1440" w:hanging="1080"/>
      </w:pPr>
      <w:rPr/>
    </w:lvl>
    <w:lvl w:ilvl="5">
      <w:start w:val="1"/>
      <w:numFmt w:val="decimal"/>
      <w:lvlText w:val="%1.%2.%3.%4.%5.%6."/>
      <w:lvlJc w:val="left"/>
      <w:pPr>
        <w:ind w:left="1800" w:hanging="1440"/>
      </w:pPr>
      <w:rPr/>
    </w:lvl>
    <w:lvl w:ilvl="6">
      <w:start w:val="1"/>
      <w:numFmt w:val="decimal"/>
      <w:lvlText w:val="%1.%2.%3.%4.%5.%6.%7."/>
      <w:lvlJc w:val="left"/>
      <w:pPr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ind w:left="2160" w:hanging="1800"/>
      </w:pPr>
      <w:rPr/>
    </w:lvl>
    <w:lvl w:ilvl="8">
      <w:start w:val="1"/>
      <w:numFmt w:val="decimal"/>
      <w:lvlText w:val="%1.%2.%3.%4.%5.%6.%7.%8.%9."/>
      <w:lvlJc w:val="left"/>
      <w:pPr>
        <w:ind w:left="2160" w:hanging="180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har"/>
    <w:uiPriority w:val="9"/>
    <w:qFormat w:val="1"/>
    <w:rsid w:val="00445B03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Ttulo3">
    <w:name w:val="heading 3"/>
    <w:basedOn w:val="Normal"/>
    <w:link w:val="Ttulo3Char"/>
    <w:uiPriority w:val="9"/>
    <w:qFormat w:val="1"/>
    <w:rsid w:val="006332CA"/>
    <w:pPr>
      <w:spacing w:after="100" w:afterAutospacing="1" w:before="100" w:beforeAutospacing="1" w:line="240" w:lineRule="auto"/>
      <w:outlineLvl w:val="2"/>
    </w:pPr>
    <w:rPr>
      <w:rFonts w:ascii="Times New Roman" w:cs="Times New Roman" w:eastAsia="Times New Roman" w:hAnsi="Times New Roman"/>
      <w:b w:val="1"/>
      <w:bCs w:val="1"/>
      <w:sz w:val="27"/>
      <w:szCs w:val="27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C27D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0E6029"/>
    <w:rPr>
      <w:color w:val="0563c1" w:themeColor="hyperlink"/>
      <w:u w:val="single"/>
    </w:rPr>
  </w:style>
  <w:style w:type="character" w:styleId="Ttulo3Char" w:customStyle="1">
    <w:name w:val="Título 3 Char"/>
    <w:basedOn w:val="Fontepargpadro"/>
    <w:link w:val="Ttulo3"/>
    <w:uiPriority w:val="9"/>
    <w:rsid w:val="006332CA"/>
    <w:rPr>
      <w:rFonts w:ascii="Times New Roman" w:cs="Times New Roman" w:eastAsia="Times New Roman" w:hAnsi="Times New Roman"/>
      <w:b w:val="1"/>
      <w:bCs w:val="1"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6332C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 w:val="1"/>
    <w:rsid w:val="00612277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12277"/>
  </w:style>
  <w:style w:type="paragraph" w:styleId="Rodap">
    <w:name w:val="footer"/>
    <w:basedOn w:val="Normal"/>
    <w:link w:val="RodapChar"/>
    <w:uiPriority w:val="99"/>
    <w:unhideWhenUsed w:val="1"/>
    <w:rsid w:val="00612277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12277"/>
  </w:style>
  <w:style w:type="character" w:styleId="Ttulo1Char" w:customStyle="1">
    <w:name w:val="Título 1 Char"/>
    <w:basedOn w:val="Fontepargpadro"/>
    <w:link w:val="Ttulo1"/>
    <w:uiPriority w:val="9"/>
    <w:rsid w:val="00445B03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medarcade.grupointegrado.br/jogar/membroinferior" TargetMode="External"/><Relationship Id="rId10" Type="http://schemas.openxmlformats.org/officeDocument/2006/relationships/image" Target="media/image2.png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medarcade.grupointegrado.br/?keyword&amp;creative&amp;gad=1&amp;gclid=CjwKCAjwysipBhBXEiwApJOcu-eEt6_dmrpOX7DxJCzctjgmYuHCdb9sl_j5_l8gxkFCLr1XSqxl5xoCnR8QAvD_BwE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smwXQ/11SxSKY/mvfJfMniRp/Q==">CgMxLjAyCGguZ2pkZ3hzOAByITEzSnV3UlF0TFF5bjdWODBONF94M01PYkpSOXVvUzZYVg==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2023-10-22T14:50:00Z</dcterms:created>
  <dc:creator>marco marangoni</dc:creator>
</cp:coreProperties>
</file>