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sistema esquelético pé – parte 1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Reconhecer as estruturas ósseas do pé.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755265"/>
            <wp:effectExtent b="0" l="0" r="0" t="0"/>
            <wp:docPr descr="Texto&#10;&#10;Descrição gerada automaticamente" id="950787192" name="image4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5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784475"/>
            <wp:effectExtent b="0" l="0" r="0" t="0"/>
            <wp:docPr descr="Tela de computador mostrando aplicativo de jogo sendo usado&#10;&#10;Descrição gerada automaticamente com confiança média" id="950787194" name="image3.png"/>
            <a:graphic>
              <a:graphicData uri="http://schemas.openxmlformats.org/drawingml/2006/picture">
                <pic:pic>
                  <pic:nvPicPr>
                    <pic:cNvPr descr="Tela de computador mostrando aplicativo de jogo sendo usado&#10;&#10;Descrição gerada automaticamente com confiança média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4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drop”, privilegiando reconhecimentos de estruturas, processos ou algoritmos.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950787193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Julho/2023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https://medarcade.grupointegrado.br/jogar/p%C3%A9p1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Rafael Godoy Pinguelo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9507871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p%C3%A9p1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/bYNeG+kGXyw+27jcy0737SKIw==">CgMxLjAyCGguZ2pkZ3hzOAByITFaRzlHakR4dG1GbVItSGh1Y2cyZ2F3OTc2Z19aVm4wTg==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2023-10-22T02:36:00Z</dcterms:created>
  <dc:creator>marco marangoni</dc:creator>
</cp:coreProperties>
</file>