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Laminário Histologia - Vasos Sanguíneos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estruturas do laminário de histologia.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6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022" l="0" r="0" t="10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2997200"/>
            <wp:effectExtent b="0" l="0" r="0" t="0"/>
            <wp:docPr id="7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354" r="35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70" name="image3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https://medarcade.grupointegrado.br/jogar/laminariohistologia-vasossanguineos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Dayane Priscila dos Santos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Matheus Felipe Mariot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-386702</wp:posOffset>
          </wp:positionH>
          <wp:positionV relativeFrom="paragraph">
            <wp:posOffset>-160008</wp:posOffset>
          </wp:positionV>
          <wp:extent cx="1612900" cy="731520"/>
          <wp:effectExtent b="0" l="0" r="0" t="0"/>
          <wp:wrapSquare wrapText="bothSides" distB="0" distT="0" distL="114300" distR="114300"/>
          <wp:docPr id="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laminariohistologia-vasossanguineos" TargetMode="External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3JJyAI05NZfluymQNRfCtHydw==">CgMxLjA4AHIhMWlXYldBX2RoUjdxTnJ4clAxZXE0TlNkdU1lRXNNckpn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