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Corte longitudinal do útero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melhora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prof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ssional,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as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estruturas do corte longitudinal do útero.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939415"/>
            <wp:effectExtent b="0" l="0" r="0" t="0"/>
            <wp:docPr id="5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1381" l="0" r="0" t="138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394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 adaptada, no qual o sistema nomeia a estrutura e o usuário deve “clicar” na barra correspondente à estrutura cuja informação esteja vinculada.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mínimos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8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55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Abril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1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2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center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https://medarcade.grupointegrado.br/jogar/cortelongitudinaldoutero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Leandro Pinecio Malizan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Carlos Augusto Cerillo Machado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Carolina Ferrari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4F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7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1" w:type="default"/>
      <w:footerReference r:id="rId12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5E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5F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0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1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2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-386707</wp:posOffset>
          </wp:positionH>
          <wp:positionV relativeFrom="paragraph">
            <wp:posOffset>-160012</wp:posOffset>
          </wp:positionV>
          <wp:extent cx="1612900" cy="731520"/>
          <wp:effectExtent b="0" l="0" r="0" t="0"/>
          <wp:wrapSquare wrapText="bothSides" distB="0" distT="0" distL="114300" distR="114300"/>
          <wp:docPr id="5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medarcade.grupointegrado.br/jogar/cortelongitudinaldoutero" TargetMode="External"/><Relationship Id="rId12" Type="http://schemas.openxmlformats.org/officeDocument/2006/relationships/footer" Target="foot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CisZJSaG7/Hc3Ui9PyT8khdRNw==">CgMxLjA4AHIhMTZiR0xnM0NGdHBRdlhnSUs2ek5VTDhGV3o2ZnhkdUNL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2023-11-06T03:55:00Z</dcterms:created>
  <dc:creator>marco marangoni</dc:creator>
</cp:coreProperties>
</file>