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Estômago - Camadas Musculares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9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9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92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https://medarcade.grupointegrado.br/jogar/estomagocamadasmusculares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-386697</wp:posOffset>
          </wp:positionH>
          <wp:positionV relativeFrom="paragraph">
            <wp:posOffset>-160004</wp:posOffset>
          </wp:positionV>
          <wp:extent cx="1612900" cy="731520"/>
          <wp:effectExtent b="0" l="0" r="0" t="0"/>
          <wp:wrapSquare wrapText="bothSides" distB="0" distT="0" distL="114300" distR="114300"/>
          <wp:docPr id="8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estomagocamadasmusculares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SDPGXpStnJmLtbpuQL/EholgQ==">CgMxLjAyCGguZ2pkZ3hzOAByITFoXzJ1a3ItZktaNVBaRTZ3b3F4ZThxTWkzWDdTaWlQTg==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