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Fígado - Posição e Relações com Órgãos Adjacentes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10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1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https://medarcade.grupointegrado.br/jogar/jogo22-f%C3%ADgadoposi%C3%A7%C3%A3oerela%C3%A7%C3%B5escom%C3%B3rg%C3%A3osadjacentes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-386691</wp:posOffset>
          </wp:positionH>
          <wp:positionV relativeFrom="paragraph">
            <wp:posOffset>-159999</wp:posOffset>
          </wp:positionV>
          <wp:extent cx="1612900" cy="731520"/>
          <wp:effectExtent b="0" l="0" r="0" t="0"/>
          <wp:wrapSquare wrapText="bothSides" distB="0" distT="0" distL="114300" distR="114300"/>
          <wp:docPr id="1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22-f%C3%ADgadoposi%C3%A7%C3%A3oerela%C3%A7%C3%B5escom%C3%B3rg%C3%A3osadjacentes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Ql2wJxnh0ZvnZvAQxzp8fnlQA==">CgMxLjAyCGguZ2pkZ3hzOAByITFNXzJRVzJTVnl4blB6TFh3cXRMTnZDamdKaWtGb29XVA==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